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A7" w:rsidRDefault="004A34A7" w:rsidP="004A34A7">
      <w:pPr>
        <w:pStyle w:val="Ttulo3"/>
        <w:spacing w:line="360" w:lineRule="auto"/>
        <w:jc w:val="center"/>
        <w:rPr>
          <w:rFonts w:ascii="Arial" w:hAnsi="Arial" w:cs="Arial"/>
          <w:bCs w:val="0"/>
          <w:color w:val="000000" w:themeColor="text1"/>
          <w:sz w:val="22"/>
          <w:szCs w:val="22"/>
          <w:u w:val="single"/>
        </w:rPr>
      </w:pPr>
      <w:r w:rsidRPr="004A34A7">
        <w:rPr>
          <w:rFonts w:ascii="Arial" w:hAnsi="Arial" w:cs="Arial"/>
          <w:bCs w:val="0"/>
          <w:color w:val="000000" w:themeColor="text1"/>
          <w:sz w:val="22"/>
          <w:szCs w:val="22"/>
          <w:u w:val="single"/>
        </w:rPr>
        <w:t>Práctica Docente II</w:t>
      </w:r>
    </w:p>
    <w:p w:rsidR="004A34A7" w:rsidRPr="004A34A7" w:rsidRDefault="004A34A7" w:rsidP="004A34A7">
      <w:pPr>
        <w:rPr>
          <w:rFonts w:eastAsiaTheme="minorHAnsi"/>
        </w:rPr>
      </w:pPr>
    </w:p>
    <w:p w:rsidR="004A34A7" w:rsidRPr="004A34A7" w:rsidRDefault="004A34A7" w:rsidP="004A34A7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Práctica Docente II, cumple con las funciones de formación, extensión e investigación de la siguiente manera:</w:t>
      </w:r>
    </w:p>
    <w:p w:rsidR="004A34A7" w:rsidRPr="004A34A7" w:rsidRDefault="004A34A7" w:rsidP="004A34A7">
      <w:pPr>
        <w:numPr>
          <w:ilvl w:val="0"/>
          <w:numId w:val="1"/>
        </w:numPr>
        <w:spacing w:after="200" w:line="276" w:lineRule="auto"/>
        <w:ind w:left="426" w:hanging="414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b/>
          <w:sz w:val="22"/>
          <w:szCs w:val="22"/>
          <w:lang w:val="es-AR" w:eastAsia="en-US"/>
        </w:rPr>
        <w:t xml:space="preserve">Formación:  </w:t>
      </w: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a partir del trabajo con bibliografía sobre la educación y  los procesos de enseñanza- aprendizaje musical, en el contexto escolar se favorece la profundización de las herramientas metodológicos del quehacer docente.</w:t>
      </w:r>
    </w:p>
    <w:p w:rsidR="004A34A7" w:rsidRPr="004A34A7" w:rsidRDefault="004A34A7" w:rsidP="004A34A7">
      <w:pPr>
        <w:spacing w:line="276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Junto con el trabajo bibliográfico también se continuará con la</w:t>
      </w:r>
      <w:r w:rsidRPr="004A34A7">
        <w:rPr>
          <w:rFonts w:ascii="Arial" w:eastAsiaTheme="minorHAnsi" w:hAnsi="Arial" w:cs="Arial"/>
          <w:b/>
          <w:sz w:val="22"/>
          <w:szCs w:val="22"/>
          <w:lang w:val="es-AR" w:eastAsia="en-US"/>
        </w:rPr>
        <w:t xml:space="preserve"> </w:t>
      </w: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recopilación de material para el futuro trabajo docente (cancioneros, CD, bibliografía de soporte) iniciado en 1° año.</w:t>
      </w:r>
    </w:p>
    <w:p w:rsidR="004A34A7" w:rsidRPr="004A34A7" w:rsidRDefault="004A34A7" w:rsidP="004A34A7">
      <w:pPr>
        <w:numPr>
          <w:ilvl w:val="0"/>
          <w:numId w:val="1"/>
        </w:numPr>
        <w:spacing w:after="200" w:line="276" w:lineRule="auto"/>
        <w:ind w:left="426" w:hanging="414"/>
        <w:jc w:val="both"/>
        <w:rPr>
          <w:rFonts w:ascii="Arial" w:eastAsiaTheme="minorHAnsi" w:hAnsi="Arial" w:cs="Arial"/>
          <w:b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b/>
          <w:sz w:val="22"/>
          <w:szCs w:val="22"/>
          <w:lang w:val="es-AR" w:eastAsia="en-US"/>
        </w:rPr>
        <w:t xml:space="preserve">Extensión: </w:t>
      </w: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las prácticas en terreno se desarrollarán en organizaciones e instituciones escolares, a través de la observación participante, brindando colaboración con el docente a cargo. De esta manera se intenta que el Conservatorio de Música establezca articulaciones con dichas organizaciones, cumpliendo con las actividades de Extensión que componen una de las funciones de la cátedra.</w:t>
      </w:r>
    </w:p>
    <w:p w:rsidR="004A34A7" w:rsidRPr="004A34A7" w:rsidRDefault="004A34A7" w:rsidP="004A34A7">
      <w:pPr>
        <w:numPr>
          <w:ilvl w:val="0"/>
          <w:numId w:val="1"/>
        </w:numPr>
        <w:spacing w:after="200" w:line="276" w:lineRule="auto"/>
        <w:ind w:left="426" w:hanging="414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b/>
          <w:sz w:val="22"/>
          <w:szCs w:val="22"/>
          <w:lang w:val="es-AR" w:eastAsia="en-US"/>
        </w:rPr>
        <w:t>Investigación:</w:t>
      </w: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. El registro y documentación de estas experiencias y la posterior reflexión sobre ellos intenta favorecer la construcción del conocimiento colectivo,  cumpliendo de esta manera con la función de investigación. </w:t>
      </w:r>
    </w:p>
    <w:p w:rsidR="004A34A7" w:rsidRDefault="004A34A7" w:rsidP="004A34A7">
      <w:pPr>
        <w:pStyle w:val="Sinespaciado"/>
        <w:spacing w:line="276" w:lineRule="auto"/>
        <w:jc w:val="both"/>
        <w:rPr>
          <w:rFonts w:ascii="Arial" w:hAnsi="Arial" w:cs="Arial"/>
          <w:b/>
          <w:i/>
        </w:rPr>
      </w:pPr>
      <w:r w:rsidRPr="004A34A7">
        <w:rPr>
          <w:rFonts w:ascii="Arial" w:hAnsi="Arial" w:cs="Arial"/>
          <w:b/>
        </w:rPr>
        <w:t>CONTENIDOS</w:t>
      </w:r>
      <w:r w:rsidRPr="004A34A7">
        <w:rPr>
          <w:rFonts w:ascii="Arial" w:hAnsi="Arial" w:cs="Arial"/>
          <w:b/>
          <w:i/>
        </w:rPr>
        <w:t>:</w:t>
      </w:r>
    </w:p>
    <w:p w:rsidR="004A34A7" w:rsidRPr="004A34A7" w:rsidRDefault="004A34A7" w:rsidP="004A34A7">
      <w:pPr>
        <w:pStyle w:val="Sinespaciado"/>
        <w:spacing w:line="276" w:lineRule="auto"/>
        <w:jc w:val="both"/>
        <w:rPr>
          <w:rFonts w:ascii="Arial" w:hAnsi="Arial" w:cs="Arial"/>
          <w:b/>
          <w:i/>
        </w:rPr>
      </w:pPr>
    </w:p>
    <w:p w:rsidR="004A34A7" w:rsidRPr="004A34A7" w:rsidRDefault="004A34A7" w:rsidP="004A34A7">
      <w:pPr>
        <w:jc w:val="both"/>
        <w:rPr>
          <w:rFonts w:ascii="Arial" w:hAnsi="Arial" w:cs="Arial"/>
          <w:sz w:val="22"/>
          <w:szCs w:val="22"/>
        </w:rPr>
      </w:pPr>
      <w:r w:rsidRPr="004A34A7">
        <w:rPr>
          <w:rFonts w:ascii="Arial" w:hAnsi="Arial" w:cs="Arial"/>
          <w:i/>
          <w:sz w:val="22"/>
          <w:szCs w:val="22"/>
        </w:rPr>
        <w:t>Unidad 1</w:t>
      </w:r>
      <w:r w:rsidRPr="004A34A7">
        <w:rPr>
          <w:rFonts w:ascii="Arial" w:hAnsi="Arial" w:cs="Arial"/>
          <w:b/>
          <w:i/>
          <w:sz w:val="22"/>
          <w:szCs w:val="22"/>
        </w:rPr>
        <w:t>:</w:t>
      </w:r>
      <w:r w:rsidRPr="004A34A7">
        <w:rPr>
          <w:rFonts w:ascii="Arial" w:hAnsi="Arial" w:cs="Arial"/>
          <w:sz w:val="22"/>
          <w:szCs w:val="22"/>
        </w:rPr>
        <w:t xml:space="preserve"> Observación y registro</w:t>
      </w:r>
      <w:r w:rsidRPr="004A34A7">
        <w:rPr>
          <w:rFonts w:ascii="Arial" w:hAnsi="Arial" w:cs="Arial"/>
          <w:i/>
          <w:sz w:val="22"/>
          <w:szCs w:val="22"/>
        </w:rPr>
        <w:t xml:space="preserve"> de clases.</w:t>
      </w:r>
    </w:p>
    <w:p w:rsidR="004A34A7" w:rsidRPr="004A34A7" w:rsidRDefault="004A34A7" w:rsidP="004A34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34A7">
        <w:rPr>
          <w:rFonts w:ascii="Arial" w:hAnsi="Arial" w:cs="Arial"/>
          <w:sz w:val="22"/>
          <w:szCs w:val="22"/>
        </w:rPr>
        <w:t xml:space="preserve">Observación de las prácticas institucionales y áulicas. Registro y análisis interpretativo. Comparación de instituciones con diversos contextos socio- culturales. </w:t>
      </w:r>
    </w:p>
    <w:p w:rsidR="004A34A7" w:rsidRPr="004A34A7" w:rsidRDefault="004A34A7" w:rsidP="004A34A7">
      <w:pPr>
        <w:jc w:val="both"/>
        <w:rPr>
          <w:rFonts w:ascii="Arial" w:hAnsi="Arial" w:cs="Arial"/>
          <w:sz w:val="22"/>
          <w:szCs w:val="22"/>
        </w:rPr>
      </w:pPr>
      <w:r w:rsidRPr="004A34A7">
        <w:rPr>
          <w:rFonts w:ascii="Arial" w:hAnsi="Arial" w:cs="Arial"/>
          <w:sz w:val="22"/>
          <w:szCs w:val="22"/>
        </w:rPr>
        <w:t>Unidad 2: Análisis interpretativo de la realidad.</w:t>
      </w:r>
    </w:p>
    <w:p w:rsidR="004A34A7" w:rsidRPr="004A34A7" w:rsidRDefault="004A34A7" w:rsidP="004A34A7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4A7">
        <w:rPr>
          <w:rFonts w:ascii="Arial" w:hAnsi="Arial" w:cs="Arial"/>
        </w:rPr>
        <w:t>Análisis de observación.</w:t>
      </w:r>
    </w:p>
    <w:p w:rsidR="004A34A7" w:rsidRPr="004A34A7" w:rsidRDefault="004A34A7" w:rsidP="004A34A7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4A7">
        <w:rPr>
          <w:rFonts w:ascii="Arial" w:hAnsi="Arial" w:cs="Arial"/>
        </w:rPr>
        <w:t>El desarrollo melódico y rítmico en el niño.  La importancia del canto.</w:t>
      </w:r>
    </w:p>
    <w:p w:rsidR="004A34A7" w:rsidRPr="004A34A7" w:rsidRDefault="004A34A7" w:rsidP="004A34A7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4A7">
        <w:rPr>
          <w:rFonts w:ascii="Arial" w:hAnsi="Arial" w:cs="Arial"/>
        </w:rPr>
        <w:t>Música y educación. Desarrollo histórico hasta la actualidad.</w:t>
      </w:r>
    </w:p>
    <w:p w:rsidR="004A34A7" w:rsidRPr="004A34A7" w:rsidRDefault="004A34A7" w:rsidP="004A34A7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4A7">
        <w:rPr>
          <w:rFonts w:ascii="Arial" w:hAnsi="Arial" w:cs="Arial"/>
        </w:rPr>
        <w:t>Modelos pedagógicos. Contenidos y enseñanza en la música.</w:t>
      </w:r>
    </w:p>
    <w:p w:rsidR="004A34A7" w:rsidRPr="004A34A7" w:rsidRDefault="004A34A7" w:rsidP="004A34A7">
      <w:pPr>
        <w:pStyle w:val="Sinespaciado"/>
        <w:spacing w:line="276" w:lineRule="auto"/>
        <w:jc w:val="both"/>
        <w:rPr>
          <w:rFonts w:ascii="Arial" w:hAnsi="Arial" w:cs="Arial"/>
        </w:rPr>
      </w:pPr>
      <w:r w:rsidRPr="004A34A7">
        <w:rPr>
          <w:rFonts w:ascii="Arial" w:hAnsi="Arial" w:cs="Arial"/>
          <w:i/>
        </w:rPr>
        <w:t xml:space="preserve">Unidad 3: Diseño de propuestas didácticas. </w:t>
      </w:r>
    </w:p>
    <w:p w:rsidR="004A34A7" w:rsidRPr="004A34A7" w:rsidRDefault="004A34A7" w:rsidP="004A34A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A34A7" w:rsidRPr="004A34A7" w:rsidRDefault="004A34A7" w:rsidP="004A34A7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4A34A7">
        <w:rPr>
          <w:rFonts w:ascii="Arial" w:hAnsi="Arial" w:cs="Arial"/>
          <w:sz w:val="22"/>
          <w:szCs w:val="22"/>
        </w:rPr>
        <w:t>Reconocimiento del diseño curricular del nivel y/o modalidad como marco prescriptivo y orientador. Especificación de expectativas de logros. Selección y organización de contenidos a partir de diferentes criterios. Selección fundamentada de técnicas, estrategias, recursos didácticos y tecnológicos. Producciones instrumentales desde los materiales brindados por la música contemporánea como cotidiáfonos, partituras analógicas, etc</w:t>
      </w:r>
      <w:r w:rsidRPr="004A34A7">
        <w:rPr>
          <w:rFonts w:ascii="Arial" w:hAnsi="Arial" w:cs="Arial"/>
          <w:sz w:val="22"/>
          <w:szCs w:val="22"/>
        </w:rPr>
        <w:tab/>
      </w:r>
    </w:p>
    <w:p w:rsidR="004A34A7" w:rsidRPr="004A34A7" w:rsidRDefault="004A34A7" w:rsidP="004A34A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34A7">
        <w:rPr>
          <w:rFonts w:ascii="Arial" w:hAnsi="Arial" w:cs="Arial"/>
          <w:color w:val="000000" w:themeColor="text1"/>
          <w:sz w:val="22"/>
          <w:szCs w:val="22"/>
        </w:rPr>
        <w:t>Bibliografía</w:t>
      </w:r>
    </w:p>
    <w:p w:rsidR="004A34A7" w:rsidRPr="004A34A7" w:rsidRDefault="004A34A7" w:rsidP="004A34A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A.A.V.V: “Corrientes Didácticas contemporáneas”. Editorial Paidós. 1996.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Aebli, H. : “Doce formas básicas de enseñar”.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Akoschky, J.: “Cotidiáfonos”.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Anijovich, R y  Mora, S.: “Estrategias de Enseñanza. Otra mirada al quehacer en el aula.”  Aique Bs. As. 2009.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Bruner J.: “Cultura y desarrollo cognitivo”.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Camilloni, A. y Levinas, M. L.: “Pensar, descubrir y aprender”. Editorial Aique. Bs. As. 1989.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Camilloni, A.: “La calidad de los programas de evaluación y de los instrumentos que la integran”, en “La evaluación de los aprendizajes en el debate didáctico contemporáneo”. Paidós. Bs.As. 1998.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Candia, M. R.; Callegari, G.; Urcola, D.: “Sugerencias para realizar planificaciones didácticas”, en “Novedades Educativas”. Año 22. Nº 2311. Marzo 2010.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lastRenderedPageBreak/>
        <w:t>Costa, I.: “Música y Educación. Aportes para un nuevo enfoque en el estudio del currículum”.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Davini, M.C.: “La formación docente en cuestión: política y pedagogía”. Editorial Paidós. Bs.As. 1995.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Davini, M.C.: “Métodos de  enseñanza: Didáctica general para maestros y profesores”. Editorial Santillana. Bs. As. 2008. Parte III.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Delval, J. : “El desarrollo humano”.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DGC y E. Pcia de Buenos Aires. Dirección de Educación Superior y Capacitación Educativa. Subdirección de Capacitación Docente. “Re- leer la escuela para re- escribirla. Capacitación para la implementación del Campo de la Práctica Docente de 2º año”.  Módulo II.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DGC y E. Pcia de Buenos Aires. Dirección de Educación Superior y Capacitación Educativa. Subdirección de Capacitación Docente. “Enseñar y aprender en tiempos de complejidad. La implementación del Campo de la Práctica de 3º año”. Módulo III.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Díaz Barriga, A.: “Didáctica y currículum”</w:t>
      </w:r>
      <w:r w:rsidRPr="004A34A7">
        <w:rPr>
          <w:rFonts w:ascii="Arial" w:eastAsiaTheme="minorHAnsi" w:hAnsi="Arial" w:cs="Arial"/>
          <w:i/>
          <w:sz w:val="22"/>
          <w:szCs w:val="22"/>
          <w:lang w:val="es-AR" w:eastAsia="en-US"/>
        </w:rPr>
        <w:t>.</w:t>
      </w: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México. Nuevo Mar. 1984. Cap 2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Eggen, P.D. y Kauchak, D.P.: “Estrategias docentes. Enseñanza de contenidos curriculares y desarrollo de habilidades de pensamiento”. F.C.E.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Ferrero, M. I.; Furnó, S.: “Planeamiento de la enseñanza musical”.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Ferrero,M. I.. ; Furnó, S.: “Musijugando”.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Freire, P.: “Cartas a quien pretende enseñar”.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Gardner, H.: “Educación artística y desarrollo humano”.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Gherbain; Hess; Marfil.: “El niño, el mundo sonoro y la música”.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Hargreaves, D. J : “Infancia y educación artística”.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Hemsy de Gainza, V.: “La Iniciación Musical del niño”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Hemsy de Gainza, V.: “Nuevas perspectivas de la educación Musical”.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Hemsy de Gainza, V.: “Pedagogía Musical”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Lurá, A. ;  Usandivaras, T.: “¿De quién es la música?”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Malbrán, S.: “Audio libro 1”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Malbrán, S.: “El aprendizaje musical de los niños”.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Malbrán, S.: “La sincronía, la estructura métrica y el desarrollo rítmico”.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Malbrán,S.; Espinosa; Furnó: “Resonancias 1 y 2”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Nardelli, M. L.: “Iniciación Musical”.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Orff-Shulwerk : “Música para niños”.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Passel, S.: “Aula Taller”. Editorial Aique. 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Schafer, M.  “El rinoceronte en el aula”.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Schafer, M.: “…Cuando las palabras cantan”.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Schafer, M.: “El compositor en el aula”.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Schafer, M.: “Limpieza de oídos”.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Self, G.: “La Educación Musical al alcance de todos, Nuevos sonidos en clase”.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Van Steenlandt, D.: “La integración de niños con discapacidad a la educación común”. UNESCO. ORLEAC. Santiago de Chile. 1991.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Welch, G. F.: “El desarrollo del canto en el niño”.</w:t>
      </w:r>
    </w:p>
    <w:p w:rsidR="004A34A7" w:rsidRPr="004A34A7" w:rsidRDefault="004A34A7" w:rsidP="004A34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Willems, E.: “La Educación Musical”.</w:t>
      </w:r>
    </w:p>
    <w:p w:rsidR="004A34A7" w:rsidRPr="004A34A7" w:rsidRDefault="004A34A7" w:rsidP="004A34A7">
      <w:pPr>
        <w:spacing w:after="200"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u w:val="single"/>
          <w:lang w:val="es-AR" w:eastAsia="en-US"/>
        </w:rPr>
        <w:t>Documentos curriculares.</w:t>
      </w:r>
    </w:p>
    <w:p w:rsidR="004A34A7" w:rsidRPr="004A34A7" w:rsidRDefault="004A34A7" w:rsidP="004A34A7">
      <w:pPr>
        <w:spacing w:after="200"/>
        <w:ind w:firstLine="284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- D.G.C. y E.: “Marco General de Política Curricular”, La Plata. 2006.</w:t>
      </w:r>
    </w:p>
    <w:p w:rsidR="004A34A7" w:rsidRPr="004A34A7" w:rsidRDefault="004A34A7" w:rsidP="004A34A7">
      <w:pPr>
        <w:spacing w:after="200"/>
        <w:ind w:firstLine="284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>- D.G.C. y E.: “Diseño Curricular para la Educación Inicial”, La Plata. 2008.</w:t>
      </w:r>
    </w:p>
    <w:p w:rsidR="004A34A7" w:rsidRPr="004A34A7" w:rsidRDefault="004A34A7" w:rsidP="004A34A7">
      <w:pPr>
        <w:spacing w:after="200"/>
        <w:ind w:firstLine="284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- D.G.C. y E.: “Diseño Curricular para la Educación Primaria”, La Plata. 2018.  </w:t>
      </w:r>
    </w:p>
    <w:p w:rsidR="004A34A7" w:rsidRPr="004A34A7" w:rsidRDefault="004A34A7" w:rsidP="004A34A7">
      <w:pPr>
        <w:spacing w:after="200"/>
        <w:ind w:firstLine="284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4A34A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- D.G.C. y E.: “Diseño Curricular para la Educación Secundaria”, La Plata. 2006. </w:t>
      </w:r>
    </w:p>
    <w:p w:rsidR="0021387F" w:rsidRDefault="0021387F"/>
    <w:sectPr w:rsidR="0021387F" w:rsidSect="004A34A7">
      <w:headerReference w:type="default" r:id="rId7"/>
      <w:pgSz w:w="12242" w:h="20163" w:code="5"/>
      <w:pgMar w:top="1418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A4" w:rsidRDefault="00C015A4" w:rsidP="004A34A7">
      <w:r>
        <w:separator/>
      </w:r>
    </w:p>
  </w:endnote>
  <w:endnote w:type="continuationSeparator" w:id="1">
    <w:p w:rsidR="00C015A4" w:rsidRDefault="00C015A4" w:rsidP="004A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A4" w:rsidRDefault="00C015A4" w:rsidP="004A34A7">
      <w:r>
        <w:separator/>
      </w:r>
    </w:p>
  </w:footnote>
  <w:footnote w:type="continuationSeparator" w:id="1">
    <w:p w:rsidR="00C015A4" w:rsidRDefault="00C015A4" w:rsidP="004A3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A7" w:rsidRDefault="004A34A7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34A7" w:rsidRDefault="004A34A7" w:rsidP="00A422DE">
    <w:pPr>
      <w:pStyle w:val="Encabezado"/>
      <w:jc w:val="right"/>
    </w:pPr>
  </w:p>
  <w:p w:rsidR="004A34A7" w:rsidRDefault="004A34A7" w:rsidP="00A422DE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PROVINCIA DE BUENOS AIRES</w:t>
    </w:r>
  </w:p>
  <w:p w:rsidR="004A34A7" w:rsidRDefault="004A34A7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DIRECCIÓN GENERAL DE CULTURA Y EDUCACIÓN</w:t>
    </w:r>
  </w:p>
  <w:p w:rsidR="004A34A7" w:rsidRDefault="004A34A7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DIRECCIÓN DE EDUCACION ARTISTICA</w:t>
    </w:r>
  </w:p>
  <w:p w:rsidR="004A34A7" w:rsidRDefault="004A34A7" w:rsidP="00A422DE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JEFATURA DE REGION 12 </w:t>
    </w:r>
  </w:p>
  <w:p w:rsidR="004A34A7" w:rsidRPr="00AC4AEC" w:rsidRDefault="004A34A7" w:rsidP="004A34A7">
    <w:pPr>
      <w:pStyle w:val="Sinespaciado"/>
      <w:rPr>
        <w:rFonts w:asciiTheme="minorHAnsi" w:hAnsiTheme="minorHAnsi"/>
        <w:sz w:val="20"/>
        <w:szCs w:val="20"/>
      </w:rPr>
    </w:pPr>
    <w:r w:rsidRPr="00AC4AEC">
      <w:rPr>
        <w:rFonts w:asciiTheme="minorHAnsi" w:hAnsiTheme="minorHAnsi"/>
        <w:sz w:val="20"/>
        <w:szCs w:val="20"/>
      </w:rPr>
      <w:t xml:space="preserve">CONSERVATORIO DE MUSICA </w:t>
    </w:r>
    <w:r>
      <w:rPr>
        <w:rFonts w:asciiTheme="minorHAnsi" w:hAnsiTheme="minorHAnsi"/>
        <w:sz w:val="20"/>
        <w:szCs w:val="20"/>
      </w:rPr>
      <w:t>“Carlos Guastavino”</w:t>
    </w:r>
  </w:p>
  <w:p w:rsidR="004A34A7" w:rsidRDefault="004A34A7" w:rsidP="004A34A7">
    <w:pPr>
      <w:pStyle w:val="Sinespaciado"/>
      <w:rPr>
        <w:rFonts w:asciiTheme="minorHAnsi" w:hAnsiTheme="minorHAnsi"/>
        <w:sz w:val="20"/>
        <w:szCs w:val="20"/>
      </w:rPr>
    </w:pPr>
    <w:r w:rsidRPr="00AC4AEC">
      <w:rPr>
        <w:rFonts w:asciiTheme="minorHAnsi" w:hAnsiTheme="minorHAnsi"/>
        <w:sz w:val="20"/>
        <w:szCs w:val="20"/>
      </w:rPr>
      <w:t>TEL 03329-425205</w:t>
    </w:r>
    <w:r w:rsidRPr="004A34A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- </w:t>
    </w:r>
    <w:r w:rsidRPr="00AC4AEC">
      <w:rPr>
        <w:rFonts w:asciiTheme="minorHAnsi" w:hAnsiTheme="minorHAnsi"/>
        <w:sz w:val="20"/>
        <w:szCs w:val="20"/>
      </w:rPr>
      <w:t xml:space="preserve">LAVALLE 180 </w:t>
    </w:r>
  </w:p>
  <w:p w:rsidR="004A34A7" w:rsidRPr="00AC4AEC" w:rsidRDefault="004A34A7" w:rsidP="004A34A7">
    <w:pPr>
      <w:pStyle w:val="Sinespaciado"/>
      <w:rPr>
        <w:rFonts w:asciiTheme="minorHAnsi" w:hAnsiTheme="minorHAnsi"/>
        <w:sz w:val="20"/>
        <w:szCs w:val="20"/>
      </w:rPr>
    </w:pPr>
    <w:r w:rsidRPr="00AC4AEC">
      <w:rPr>
        <w:rFonts w:asciiTheme="minorHAnsi" w:hAnsiTheme="minorHAnsi"/>
        <w:sz w:val="20"/>
        <w:szCs w:val="20"/>
      </w:rPr>
      <w:t>SAN PEDRO (B)</w:t>
    </w:r>
  </w:p>
  <w:p w:rsidR="004A34A7" w:rsidRDefault="004A34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7D1E"/>
    <w:multiLevelType w:val="hybridMultilevel"/>
    <w:tmpl w:val="46244D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41C00"/>
    <w:multiLevelType w:val="hybridMultilevel"/>
    <w:tmpl w:val="B4AA7882"/>
    <w:lvl w:ilvl="0" w:tplc="6AAE3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4A7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0D4576"/>
    <w:rsid w:val="00106B9C"/>
    <w:rsid w:val="001153A2"/>
    <w:rsid w:val="001155C4"/>
    <w:rsid w:val="00116A0C"/>
    <w:rsid w:val="00127F86"/>
    <w:rsid w:val="001314F7"/>
    <w:rsid w:val="00144E3A"/>
    <w:rsid w:val="00150581"/>
    <w:rsid w:val="00170DD3"/>
    <w:rsid w:val="00177F89"/>
    <w:rsid w:val="001843DB"/>
    <w:rsid w:val="00186311"/>
    <w:rsid w:val="001956B9"/>
    <w:rsid w:val="001A3E69"/>
    <w:rsid w:val="001B00FF"/>
    <w:rsid w:val="001C289A"/>
    <w:rsid w:val="001F738F"/>
    <w:rsid w:val="001F7F83"/>
    <w:rsid w:val="00200D2D"/>
    <w:rsid w:val="002064E6"/>
    <w:rsid w:val="0021035D"/>
    <w:rsid w:val="0021387F"/>
    <w:rsid w:val="002739D6"/>
    <w:rsid w:val="0027713C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273CF"/>
    <w:rsid w:val="0033664D"/>
    <w:rsid w:val="003425BD"/>
    <w:rsid w:val="00345239"/>
    <w:rsid w:val="003464F5"/>
    <w:rsid w:val="0035447B"/>
    <w:rsid w:val="00381385"/>
    <w:rsid w:val="003D4BB8"/>
    <w:rsid w:val="003D7284"/>
    <w:rsid w:val="003E518B"/>
    <w:rsid w:val="003F1FCA"/>
    <w:rsid w:val="00421AA2"/>
    <w:rsid w:val="00430965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A198D"/>
    <w:rsid w:val="004A34A7"/>
    <w:rsid w:val="004B7901"/>
    <w:rsid w:val="004D0255"/>
    <w:rsid w:val="004D43D6"/>
    <w:rsid w:val="004F24AF"/>
    <w:rsid w:val="00500DF1"/>
    <w:rsid w:val="00516500"/>
    <w:rsid w:val="005233BE"/>
    <w:rsid w:val="00543607"/>
    <w:rsid w:val="005509E2"/>
    <w:rsid w:val="00566397"/>
    <w:rsid w:val="00581ADE"/>
    <w:rsid w:val="00581EDD"/>
    <w:rsid w:val="005A17D7"/>
    <w:rsid w:val="005D58A8"/>
    <w:rsid w:val="005E1374"/>
    <w:rsid w:val="005E564F"/>
    <w:rsid w:val="005F5F0D"/>
    <w:rsid w:val="0060099E"/>
    <w:rsid w:val="00607288"/>
    <w:rsid w:val="006240C0"/>
    <w:rsid w:val="00634123"/>
    <w:rsid w:val="006509E6"/>
    <w:rsid w:val="00652B37"/>
    <w:rsid w:val="0065618D"/>
    <w:rsid w:val="00656C70"/>
    <w:rsid w:val="006629A5"/>
    <w:rsid w:val="00674938"/>
    <w:rsid w:val="006832C2"/>
    <w:rsid w:val="006862F3"/>
    <w:rsid w:val="00686F93"/>
    <w:rsid w:val="00694334"/>
    <w:rsid w:val="006B5932"/>
    <w:rsid w:val="006C282F"/>
    <w:rsid w:val="006C6BE3"/>
    <w:rsid w:val="006D048A"/>
    <w:rsid w:val="006D601B"/>
    <w:rsid w:val="006F54AA"/>
    <w:rsid w:val="006F7ACE"/>
    <w:rsid w:val="0070038D"/>
    <w:rsid w:val="007061DB"/>
    <w:rsid w:val="00710F31"/>
    <w:rsid w:val="00711F85"/>
    <w:rsid w:val="007128DA"/>
    <w:rsid w:val="0077119A"/>
    <w:rsid w:val="007725DD"/>
    <w:rsid w:val="007747D6"/>
    <w:rsid w:val="00796194"/>
    <w:rsid w:val="00797918"/>
    <w:rsid w:val="007E1B88"/>
    <w:rsid w:val="007E2F25"/>
    <w:rsid w:val="007E7C29"/>
    <w:rsid w:val="007F0662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62889"/>
    <w:rsid w:val="00865CD3"/>
    <w:rsid w:val="00867EA9"/>
    <w:rsid w:val="00874FD9"/>
    <w:rsid w:val="0087730A"/>
    <w:rsid w:val="008B6C86"/>
    <w:rsid w:val="008C19FB"/>
    <w:rsid w:val="008C5B99"/>
    <w:rsid w:val="008C6D8A"/>
    <w:rsid w:val="008E5BF0"/>
    <w:rsid w:val="00904726"/>
    <w:rsid w:val="00917F1D"/>
    <w:rsid w:val="009273F1"/>
    <w:rsid w:val="00947C12"/>
    <w:rsid w:val="009660F7"/>
    <w:rsid w:val="00966C54"/>
    <w:rsid w:val="009725F4"/>
    <w:rsid w:val="0097471B"/>
    <w:rsid w:val="00985D3D"/>
    <w:rsid w:val="009A447E"/>
    <w:rsid w:val="009B35F2"/>
    <w:rsid w:val="009F0C4C"/>
    <w:rsid w:val="00A20241"/>
    <w:rsid w:val="00A347EC"/>
    <w:rsid w:val="00A40522"/>
    <w:rsid w:val="00A4467E"/>
    <w:rsid w:val="00A45C64"/>
    <w:rsid w:val="00A4669F"/>
    <w:rsid w:val="00A6345C"/>
    <w:rsid w:val="00A65B7B"/>
    <w:rsid w:val="00A775DA"/>
    <w:rsid w:val="00A876DB"/>
    <w:rsid w:val="00A90660"/>
    <w:rsid w:val="00A9075A"/>
    <w:rsid w:val="00A93C80"/>
    <w:rsid w:val="00AC12A1"/>
    <w:rsid w:val="00AC6D85"/>
    <w:rsid w:val="00AE5EDA"/>
    <w:rsid w:val="00AF7724"/>
    <w:rsid w:val="00B2750B"/>
    <w:rsid w:val="00B322F0"/>
    <w:rsid w:val="00B3356E"/>
    <w:rsid w:val="00B4055B"/>
    <w:rsid w:val="00B4500D"/>
    <w:rsid w:val="00B47C31"/>
    <w:rsid w:val="00B5695F"/>
    <w:rsid w:val="00B71ECD"/>
    <w:rsid w:val="00B72D4C"/>
    <w:rsid w:val="00B91752"/>
    <w:rsid w:val="00BA38F7"/>
    <w:rsid w:val="00BA5EBB"/>
    <w:rsid w:val="00BA758D"/>
    <w:rsid w:val="00BB0215"/>
    <w:rsid w:val="00BC28AC"/>
    <w:rsid w:val="00BD4CA7"/>
    <w:rsid w:val="00BE4F8A"/>
    <w:rsid w:val="00BF2B71"/>
    <w:rsid w:val="00BF50AF"/>
    <w:rsid w:val="00C00F91"/>
    <w:rsid w:val="00C015A4"/>
    <w:rsid w:val="00C01759"/>
    <w:rsid w:val="00C07C24"/>
    <w:rsid w:val="00C14E4C"/>
    <w:rsid w:val="00C22ADE"/>
    <w:rsid w:val="00C235EB"/>
    <w:rsid w:val="00C370A4"/>
    <w:rsid w:val="00C40737"/>
    <w:rsid w:val="00C41575"/>
    <w:rsid w:val="00C54AA9"/>
    <w:rsid w:val="00C71C09"/>
    <w:rsid w:val="00C91525"/>
    <w:rsid w:val="00C93273"/>
    <w:rsid w:val="00C96774"/>
    <w:rsid w:val="00CC04D9"/>
    <w:rsid w:val="00CD4B93"/>
    <w:rsid w:val="00CD5D6B"/>
    <w:rsid w:val="00CD76DB"/>
    <w:rsid w:val="00CE0614"/>
    <w:rsid w:val="00CF18F4"/>
    <w:rsid w:val="00D01A67"/>
    <w:rsid w:val="00D206FB"/>
    <w:rsid w:val="00D26850"/>
    <w:rsid w:val="00D3109A"/>
    <w:rsid w:val="00D41C99"/>
    <w:rsid w:val="00D605DF"/>
    <w:rsid w:val="00D71123"/>
    <w:rsid w:val="00D8732B"/>
    <w:rsid w:val="00DA0190"/>
    <w:rsid w:val="00DA0472"/>
    <w:rsid w:val="00DA55F9"/>
    <w:rsid w:val="00DB65B0"/>
    <w:rsid w:val="00E026D8"/>
    <w:rsid w:val="00E06E63"/>
    <w:rsid w:val="00E075D3"/>
    <w:rsid w:val="00E1031B"/>
    <w:rsid w:val="00E234C3"/>
    <w:rsid w:val="00E23788"/>
    <w:rsid w:val="00E24B6F"/>
    <w:rsid w:val="00E24CBA"/>
    <w:rsid w:val="00E3273C"/>
    <w:rsid w:val="00E51ED4"/>
    <w:rsid w:val="00E611B8"/>
    <w:rsid w:val="00EA584D"/>
    <w:rsid w:val="00EB1E39"/>
    <w:rsid w:val="00EB3D2B"/>
    <w:rsid w:val="00EB5055"/>
    <w:rsid w:val="00EC0FA9"/>
    <w:rsid w:val="00EC2010"/>
    <w:rsid w:val="00ED0BC9"/>
    <w:rsid w:val="00ED468A"/>
    <w:rsid w:val="00ED7BCA"/>
    <w:rsid w:val="00EF237E"/>
    <w:rsid w:val="00F13817"/>
    <w:rsid w:val="00F151F9"/>
    <w:rsid w:val="00F34F68"/>
    <w:rsid w:val="00F5144B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A34A7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A3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A3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4A3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4A34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Sinespaciado">
    <w:name w:val="No Spacing"/>
    <w:uiPriority w:val="1"/>
    <w:qFormat/>
    <w:rsid w:val="004A34A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A34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34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4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34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34A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A34A7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4A34A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4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4A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869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2018-09-12T14:36:00Z</dcterms:created>
  <dcterms:modified xsi:type="dcterms:W3CDTF">2018-09-12T14:45:00Z</dcterms:modified>
</cp:coreProperties>
</file>