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5"/>
        <w:gridCol w:w="5198"/>
        <w:gridCol w:w="2529"/>
      </w:tblGrid>
      <w:tr w:rsidR="007430CC" w:rsidRPr="001179BF" w:rsidTr="00204E52">
        <w:trPr>
          <w:trHeight w:val="516"/>
        </w:trPr>
        <w:tc>
          <w:tcPr>
            <w:tcW w:w="2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Pr="001179BF" w:rsidRDefault="007430CC" w:rsidP="00A0311C">
            <w:pPr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Comunicado Nº </w:t>
            </w:r>
            <w:r w:rsidR="00A0311C">
              <w:rPr>
                <w:b/>
                <w:bCs/>
                <w:color w:val="222222"/>
                <w:sz w:val="24"/>
                <w:szCs w:val="24"/>
                <w:lang w:val="es-MX"/>
              </w:rPr>
              <w:t>94</w:t>
            </w:r>
          </w:p>
        </w:tc>
        <w:tc>
          <w:tcPr>
            <w:tcW w:w="5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Default="007430CC" w:rsidP="00005C74">
            <w:pPr>
              <w:jc w:val="center"/>
              <w:rPr>
                <w:b/>
                <w:bCs/>
                <w:color w:val="222222"/>
                <w:sz w:val="24"/>
                <w:szCs w:val="24"/>
                <w:lang w:val="es-MX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Concurso cobertura módulos </w:t>
            </w:r>
          </w:p>
          <w:p w:rsidR="007430CC" w:rsidRPr="001179BF" w:rsidRDefault="007430CC" w:rsidP="007430CC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Nivel Superior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</w:t>
            </w:r>
            <w:r w:rsidR="00204E52">
              <w:rPr>
                <w:b/>
                <w:bCs/>
                <w:color w:val="222222"/>
                <w:sz w:val="24"/>
                <w:szCs w:val="24"/>
                <w:lang w:val="es-MX"/>
              </w:rPr>
              <w:t>–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ISFD</w:t>
            </w:r>
            <w:r w:rsidR="00204E52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</w:t>
            </w:r>
            <w:r w:rsidRPr="001179BF">
              <w:rPr>
                <w:b/>
                <w:bCs/>
                <w:color w:val="222222"/>
                <w:sz w:val="24"/>
                <w:szCs w:val="24"/>
                <w:lang w:val="es-MX"/>
              </w:rPr>
              <w:t>11</w:t>
            </w: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>9</w:t>
            </w:r>
          </w:p>
        </w:tc>
        <w:tc>
          <w:tcPr>
            <w:tcW w:w="2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30CC" w:rsidRPr="001179BF" w:rsidRDefault="008635D2" w:rsidP="006F1CFC">
            <w:pPr>
              <w:jc w:val="right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19 </w:t>
            </w:r>
            <w:bookmarkStart w:id="0" w:name="_GoBack"/>
            <w:bookmarkEnd w:id="0"/>
            <w:r w:rsidR="007430CC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de </w:t>
            </w:r>
            <w:r w:rsidR="006F1CFC">
              <w:rPr>
                <w:b/>
                <w:bCs/>
                <w:color w:val="222222"/>
                <w:sz w:val="24"/>
                <w:szCs w:val="24"/>
                <w:lang w:val="es-MX"/>
              </w:rPr>
              <w:t>julio</w:t>
            </w:r>
            <w:r w:rsidR="007430CC">
              <w:rPr>
                <w:b/>
                <w:bCs/>
                <w:color w:val="222222"/>
                <w:sz w:val="24"/>
                <w:szCs w:val="24"/>
                <w:lang w:val="es-MX"/>
              </w:rPr>
              <w:t xml:space="preserve"> de 2022</w:t>
            </w:r>
          </w:p>
        </w:tc>
      </w:tr>
    </w:tbl>
    <w:p w:rsidR="007430CC" w:rsidRDefault="007430CC" w:rsidP="007430CC">
      <w:pPr>
        <w:shd w:val="clear" w:color="auto" w:fill="FFFFFF"/>
        <w:ind w:firstLine="540"/>
        <w:jc w:val="both"/>
        <w:rPr>
          <w:rFonts w:cs="Calibri"/>
          <w:color w:val="222222"/>
          <w:lang w:val="es-MX"/>
        </w:rPr>
      </w:pPr>
    </w:p>
    <w:p w:rsidR="007430CC" w:rsidRDefault="007430CC" w:rsidP="007430CC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1B7AF6">
        <w:rPr>
          <w:rFonts w:asciiTheme="minorHAnsi" w:hAnsiTheme="minorHAnsi" w:cstheme="minorHAnsi"/>
          <w:color w:val="222222"/>
          <w:sz w:val="24"/>
          <w:szCs w:val="24"/>
          <w:lang w:val="es-MX"/>
        </w:rPr>
        <w:t>Secretaría de Asuntos Docentes comunica que el Instituto de Formación Docente Nº 119 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llama a Concurso de Títulos, Antecedentes y Oposición para la cobertura de módulos</w:t>
      </w:r>
      <w:r w:rsidRPr="001B7AF6">
        <w:rPr>
          <w:rFonts w:asciiTheme="minorHAnsi" w:hAnsiTheme="minorHAnsi" w:cstheme="minorHAnsi"/>
          <w:sz w:val="24"/>
          <w:szCs w:val="24"/>
        </w:rPr>
        <w:t xml:space="preserve"> SUPLENTES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>, en el marco de las Resoluciones 5886/03</w:t>
      </w:r>
      <w:r>
        <w:rPr>
          <w:rFonts w:asciiTheme="minorHAnsi" w:hAnsiTheme="minorHAnsi" w:cstheme="minorHAnsi"/>
          <w:color w:val="222222"/>
          <w:sz w:val="24"/>
          <w:szCs w:val="24"/>
        </w:rPr>
        <w:t>, Resolución 1161/20</w:t>
      </w:r>
      <w:r w:rsidRPr="001B7AF6">
        <w:rPr>
          <w:rFonts w:asciiTheme="minorHAnsi" w:hAnsiTheme="minorHAnsi" w:cstheme="minorHAnsi"/>
          <w:color w:val="222222"/>
          <w:sz w:val="24"/>
          <w:szCs w:val="24"/>
        </w:rPr>
        <w:t xml:space="preserve"> y Disp. Nº 30/05</w:t>
      </w:r>
      <w:r w:rsidRPr="001B7AF6">
        <w:rPr>
          <w:rFonts w:asciiTheme="minorHAnsi" w:hAnsiTheme="minorHAnsi" w:cstheme="minorHAnsi"/>
          <w:sz w:val="24"/>
          <w:szCs w:val="24"/>
        </w:rPr>
        <w:t>, disponibles en la página de la Dirección General de Cultura y Educación (</w:t>
      </w:r>
      <w:hyperlink r:id="rId6" w:history="1">
        <w:r w:rsidRPr="001B7AF6">
          <w:rPr>
            <w:rStyle w:val="Hipervnculo"/>
            <w:rFonts w:asciiTheme="minorHAnsi" w:hAnsiTheme="minorHAnsi" w:cstheme="minorHAnsi"/>
            <w:sz w:val="24"/>
            <w:szCs w:val="24"/>
          </w:rPr>
          <w:t>www.abc.gob.ar</w:t>
        </w:r>
      </w:hyperlink>
      <w:r w:rsidRPr="001B7AF6">
        <w:rPr>
          <w:rFonts w:asciiTheme="minorHAnsi" w:hAnsiTheme="minorHAnsi" w:cstheme="minorHAnsi"/>
          <w:sz w:val="24"/>
          <w:szCs w:val="24"/>
        </w:rPr>
        <w:t>):</w:t>
      </w:r>
    </w:p>
    <w:p w:rsidR="007430CC" w:rsidRDefault="007430CC" w:rsidP="007430CC">
      <w:pPr>
        <w:shd w:val="clear" w:color="auto" w:fill="FFFFFF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:rsidR="007430CC" w:rsidRPr="00B60F71" w:rsidRDefault="007430CC" w:rsidP="007430CC">
      <w:pPr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 xml:space="preserve">“Aspirantes, se hace saber que deberán </w:t>
      </w:r>
      <w:r w:rsidRPr="00B60F71">
        <w:rPr>
          <w:rFonts w:asciiTheme="minorHAnsi" w:hAnsiTheme="minorHAnsi" w:cstheme="minorHAnsi"/>
          <w:b/>
          <w:i/>
          <w:sz w:val="24"/>
          <w:szCs w:val="24"/>
        </w:rPr>
        <w:t xml:space="preserve">entregar </w:t>
      </w:r>
      <w:r w:rsidRPr="00B60F71">
        <w:rPr>
          <w:rFonts w:asciiTheme="minorHAnsi" w:hAnsiTheme="minorHAnsi" w:cstheme="minorHAnsi"/>
          <w:i/>
          <w:sz w:val="24"/>
          <w:szCs w:val="24"/>
        </w:rPr>
        <w:t>la</w:t>
      </w:r>
      <w:r w:rsidRPr="00B60F71">
        <w:rPr>
          <w:rFonts w:asciiTheme="minorHAnsi" w:hAnsiTheme="minorHAnsi" w:cstheme="minorHAnsi"/>
          <w:b/>
          <w:i/>
          <w:sz w:val="24"/>
          <w:szCs w:val="24"/>
        </w:rPr>
        <w:t xml:space="preserve"> Propuesta Pedagógica</w:t>
      </w:r>
      <w:r w:rsidRPr="00B60F71">
        <w:rPr>
          <w:rFonts w:asciiTheme="minorHAnsi" w:hAnsiTheme="minorHAnsi" w:cstheme="minorHAnsi"/>
          <w:i/>
          <w:sz w:val="24"/>
          <w:szCs w:val="24"/>
        </w:rPr>
        <w:t xml:space="preserve"> (Proyecto según Disposición 30/05) y el </w:t>
      </w:r>
      <w:r w:rsidRPr="00B60F71">
        <w:rPr>
          <w:rFonts w:asciiTheme="minorHAnsi" w:hAnsiTheme="minorHAnsi" w:cstheme="minorHAnsi"/>
          <w:b/>
          <w:i/>
          <w:sz w:val="24"/>
          <w:szCs w:val="24"/>
        </w:rPr>
        <w:t>Anexo III</w:t>
      </w:r>
      <w:r w:rsidRPr="00B60F71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Pr="00B60F71">
        <w:rPr>
          <w:rFonts w:asciiTheme="minorHAnsi" w:hAnsiTheme="minorHAnsi" w:cstheme="minorHAnsi"/>
          <w:i/>
          <w:sz w:val="24"/>
          <w:szCs w:val="24"/>
          <w:lang w:eastAsia="es-AR"/>
        </w:rPr>
        <w:t>Formulario de Declaración Jurada de Títulos y Antecedentes, Constancia de Inscripción, Constancia de designación ad referéndum y planilla solicitud designación ad referéndum,</w:t>
      </w:r>
      <w:r w:rsidRPr="00B60F71">
        <w:rPr>
          <w:rFonts w:asciiTheme="minorHAnsi" w:hAnsiTheme="minorHAnsi" w:cstheme="minorHAnsi"/>
          <w:i/>
          <w:sz w:val="24"/>
          <w:szCs w:val="24"/>
        </w:rPr>
        <w:t xml:space="preserve">  prescriptas por la Resolución 5886/03 y deberán constituir domicilio físico y domicilio electrónico – CORREO ABC - a los efectos de las notificaciones fehacientes que fuera necesario realizar durante el proceso de selección), </w:t>
      </w:r>
      <w:r w:rsidRPr="007430CC">
        <w:rPr>
          <w:rFonts w:asciiTheme="minorHAnsi" w:hAnsiTheme="minorHAnsi" w:cstheme="minorHAnsi"/>
          <w:i/>
          <w:sz w:val="24"/>
          <w:szCs w:val="24"/>
        </w:rPr>
        <w:t>al realizar la inscripción los aspirantes deberán hacerlo en  formato electrónico</w:t>
      </w:r>
      <w:r w:rsidRPr="00B60F71">
        <w:rPr>
          <w:rFonts w:asciiTheme="minorHAnsi" w:hAnsiTheme="minorHAnsi" w:cstheme="minorHAnsi"/>
          <w:b/>
          <w:i/>
          <w:sz w:val="24"/>
          <w:szCs w:val="24"/>
        </w:rPr>
        <w:t xml:space="preserve"> observando las siguientes pautas</w:t>
      </w:r>
      <w:r w:rsidRPr="00B60F71">
        <w:rPr>
          <w:rFonts w:asciiTheme="minorHAnsi" w:hAnsiTheme="minorHAnsi" w:cstheme="minorHAnsi"/>
          <w:i/>
          <w:sz w:val="24"/>
          <w:szCs w:val="24"/>
        </w:rPr>
        <w:t>: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>1. Los archivos que se envíen deberán ser en formato PDF con la seguridad correspondiente que inhabilite modificaciones, no formato WORD.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 xml:space="preserve">2. La documentación solicitada como adjunto al Anexo III, deberá presentarse escaneada en formato PDF (no foto, se sugiere la utilización de aplicaciones para celulares como </w:t>
      </w:r>
      <w:proofErr w:type="spellStart"/>
      <w:r w:rsidRPr="00B60F71">
        <w:rPr>
          <w:rFonts w:asciiTheme="minorHAnsi" w:hAnsiTheme="minorHAnsi" w:cstheme="minorHAnsi"/>
          <w:i/>
          <w:sz w:val="24"/>
          <w:szCs w:val="24"/>
        </w:rPr>
        <w:t>CamScanner</w:t>
      </w:r>
      <w:proofErr w:type="spellEnd"/>
      <w:r w:rsidRPr="00B60F71">
        <w:rPr>
          <w:rFonts w:asciiTheme="minorHAnsi" w:hAnsiTheme="minorHAnsi" w:cstheme="minorHAnsi"/>
          <w:i/>
          <w:sz w:val="24"/>
          <w:szCs w:val="24"/>
        </w:rPr>
        <w:t>) en un único archivo conformado para el mencionado anexo, nombrándolo como tal y el apellido del aspirante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>3. La propuesta pedagógica deberá presentarse en un archivo identificado con apellido del aspirante y nombre de la unidad curricular a la que se postula.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 xml:space="preserve">4. Ambos archivos (Propuesta Pedagógica y Anexo III) se enviarán como adjuntos a la dirección de correo publicada para tal fin y consignando en el asunto el nombre para el espacio que se postula. 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>5. En cualquier caso, ante inconvenientes en relación a archivos a presentar (desconocimiento de la herramienta informática cómo procesador de textos), deberá seguirse el formato digital anteriormente especificado (PDF en ambos casos)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 xml:space="preserve">6. El correo electrónico habilitado para recepción de Propuestas, documentación y consultas: </w:t>
      </w:r>
      <w:hyperlink r:id="rId7" w:history="1">
        <w:r w:rsidRPr="00B60F71">
          <w:rPr>
            <w:rStyle w:val="Hipervnculo"/>
            <w:rFonts w:asciiTheme="minorHAnsi" w:hAnsiTheme="minorHAnsi" w:cstheme="minorHAnsi"/>
            <w:i/>
            <w:sz w:val="24"/>
            <w:szCs w:val="24"/>
          </w:rPr>
          <w:t>isfd119comisionevaluadora@gmail.com</w:t>
        </w:r>
      </w:hyperlink>
    </w:p>
    <w:p w:rsidR="007430CC" w:rsidRPr="00DA54DB" w:rsidRDefault="007430CC" w:rsidP="007430CC">
      <w:pPr>
        <w:ind w:left="720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 xml:space="preserve">7. El horario habilitado para la recepción de Propuestas, documentación y consultas </w:t>
      </w:r>
      <w:r w:rsidRPr="00DA54DB">
        <w:rPr>
          <w:rFonts w:asciiTheme="minorHAnsi" w:hAnsiTheme="minorHAnsi" w:cstheme="minorHAnsi"/>
          <w:i/>
          <w:sz w:val="24"/>
          <w:szCs w:val="24"/>
        </w:rPr>
        <w:t xml:space="preserve">será hasta las 23:00 </w:t>
      </w:r>
      <w:proofErr w:type="spellStart"/>
      <w:r w:rsidRPr="00DA54DB">
        <w:rPr>
          <w:rFonts w:asciiTheme="minorHAnsi" w:hAnsiTheme="minorHAnsi" w:cstheme="minorHAnsi"/>
          <w:i/>
          <w:sz w:val="24"/>
          <w:szCs w:val="24"/>
        </w:rPr>
        <w:t>hs</w:t>
      </w:r>
      <w:proofErr w:type="spellEnd"/>
      <w:r w:rsidRPr="00DA54DB">
        <w:rPr>
          <w:rFonts w:asciiTheme="minorHAnsi" w:hAnsiTheme="minorHAnsi" w:cstheme="minorHAnsi"/>
          <w:i/>
          <w:sz w:val="24"/>
          <w:szCs w:val="24"/>
        </w:rPr>
        <w:t xml:space="preserve"> del último día de inscripción.</w:t>
      </w:r>
    </w:p>
    <w:p w:rsidR="007430CC" w:rsidRPr="00B60F71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B60F71">
        <w:rPr>
          <w:rFonts w:asciiTheme="minorHAnsi" w:hAnsiTheme="minorHAnsi" w:cstheme="minorHAnsi"/>
          <w:i/>
          <w:sz w:val="24"/>
          <w:szCs w:val="24"/>
        </w:rPr>
        <w:t>8. Normativa General, Diseños Curriculares, P.I.E. (ajustado a la Resolución 4043/05 y modificatorias) pueden solicitarse a través de la misma dirección de correo electrónico.</w:t>
      </w:r>
    </w:p>
    <w:p w:rsidR="007430CC" w:rsidRPr="00DA54DB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4DB">
        <w:rPr>
          <w:rFonts w:asciiTheme="minorHAnsi" w:hAnsiTheme="minorHAnsi" w:cstheme="minorHAnsi"/>
          <w:i/>
          <w:sz w:val="24"/>
          <w:szCs w:val="24"/>
        </w:rPr>
        <w:t xml:space="preserve">9. Para dejar constancia fehaciente que el Instituto ha recibido y cursado entrada a la Propuesta y su Anexo III correspondiente para evaluación de antecedentes, se responderá por email a la dirección de correo de procedencia, DENTRO DE LAS 72 HORAS DE RECIBIDO, que será la </w:t>
      </w:r>
      <w:r w:rsidRPr="007430CC">
        <w:rPr>
          <w:rFonts w:asciiTheme="minorHAnsi" w:hAnsiTheme="minorHAnsi" w:cstheme="minorHAnsi"/>
          <w:i/>
          <w:sz w:val="24"/>
          <w:szCs w:val="24"/>
          <w:u w:val="single"/>
        </w:rPr>
        <w:t>única prueba que certifique la inscripción</w:t>
      </w:r>
      <w:r w:rsidRPr="00DA54DB">
        <w:rPr>
          <w:rFonts w:asciiTheme="minorHAnsi" w:hAnsiTheme="minorHAnsi" w:cstheme="minorHAnsi"/>
          <w:i/>
          <w:sz w:val="24"/>
          <w:szCs w:val="24"/>
        </w:rPr>
        <w:t xml:space="preserve"> cómo aspirante al concurso.</w:t>
      </w:r>
    </w:p>
    <w:p w:rsidR="007430CC" w:rsidRPr="00DA54DB" w:rsidRDefault="007430CC" w:rsidP="007430CC">
      <w:pPr>
        <w:ind w:left="720"/>
        <w:jc w:val="both"/>
        <w:rPr>
          <w:rFonts w:asciiTheme="minorHAnsi" w:hAnsiTheme="minorHAnsi" w:cstheme="minorHAnsi"/>
          <w:i/>
          <w:sz w:val="24"/>
          <w:szCs w:val="24"/>
        </w:rPr>
      </w:pPr>
      <w:r w:rsidRPr="00DA54DB">
        <w:rPr>
          <w:rFonts w:asciiTheme="minorHAnsi" w:hAnsiTheme="minorHAnsi" w:cstheme="minorHAnsi"/>
          <w:i/>
          <w:sz w:val="24"/>
          <w:szCs w:val="24"/>
        </w:rPr>
        <w:t>10. Cabe aclarar que la Dirección de este Establecimiento podrá solicitar los originales en cualquier etapa de la evaluación, de ser necesario.</w:t>
      </w:r>
    </w:p>
    <w:p w:rsidR="007430CC" w:rsidRPr="00DA54DB" w:rsidRDefault="007430CC" w:rsidP="007430CC">
      <w:pPr>
        <w:rPr>
          <w:rFonts w:asciiTheme="minorHAnsi" w:hAnsiTheme="minorHAnsi" w:cstheme="minorHAnsi"/>
          <w:i/>
          <w:sz w:val="24"/>
          <w:szCs w:val="24"/>
        </w:rPr>
      </w:pPr>
      <w:r w:rsidRPr="00DA54DB">
        <w:rPr>
          <w:rFonts w:asciiTheme="minorHAnsi" w:hAnsiTheme="minorHAnsi" w:cstheme="minorHAnsi"/>
          <w:i/>
          <w:sz w:val="24"/>
          <w:szCs w:val="24"/>
        </w:rPr>
        <w:t>Ta</w:t>
      </w:r>
      <w:r>
        <w:rPr>
          <w:rFonts w:asciiTheme="minorHAnsi" w:hAnsiTheme="minorHAnsi" w:cstheme="minorHAnsi"/>
          <w:i/>
          <w:sz w:val="24"/>
          <w:szCs w:val="24"/>
        </w:rPr>
        <w:t>l como plantea la Resolución 58</w:t>
      </w:r>
      <w:r w:rsidRPr="00DA54DB">
        <w:rPr>
          <w:rFonts w:asciiTheme="minorHAnsi" w:hAnsiTheme="minorHAnsi" w:cstheme="minorHAnsi"/>
          <w:i/>
          <w:sz w:val="24"/>
          <w:szCs w:val="24"/>
        </w:rPr>
        <w:t>86/03 y Resolución 1161/20 existe posibilidad de cambio de horarios, siempre y cuando no afecte el normal funcionamiento del servicio y en función de las DDJJ de cargos y horarios de los agentes involucrados. (Anexo I Punto III – Difusión de la convocatoria e inscripción: “Deberá especificarse si el horario previsto podrá ser modificado”.)</w:t>
      </w:r>
    </w:p>
    <w:p w:rsidR="007430CC" w:rsidRPr="00DA54DB" w:rsidRDefault="007430CC" w:rsidP="007430CC">
      <w:pPr>
        <w:jc w:val="center"/>
        <w:rPr>
          <w:rFonts w:asciiTheme="minorHAnsi" w:hAnsiTheme="minorHAnsi" w:cstheme="minorHAnsi"/>
          <w:i/>
          <w:sz w:val="24"/>
          <w:szCs w:val="24"/>
        </w:rPr>
      </w:pPr>
    </w:p>
    <w:p w:rsidR="007430CC" w:rsidRDefault="007430CC" w:rsidP="007430CC">
      <w:pPr>
        <w:spacing w:after="200" w:line="276" w:lineRule="auto"/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b/>
          <w:sz w:val="24"/>
          <w:u w:val="single"/>
        </w:rPr>
        <w:br w:type="page"/>
      </w:r>
    </w:p>
    <w:p w:rsidR="006F1CFC" w:rsidRDefault="006F1CFC" w:rsidP="006F1CFC">
      <w:pPr>
        <w:jc w:val="center"/>
        <w:rPr>
          <w:rFonts w:cs="Calibri"/>
          <w:b/>
          <w:sz w:val="24"/>
          <w:u w:val="single"/>
        </w:rPr>
      </w:pPr>
      <w:r>
        <w:rPr>
          <w:rFonts w:cs="Calibri"/>
          <w:b/>
          <w:sz w:val="24"/>
          <w:u w:val="single"/>
        </w:rPr>
        <w:lastRenderedPageBreak/>
        <w:t>VACANTES Y CRONOGRAMA</w:t>
      </w:r>
    </w:p>
    <w:p w:rsidR="00731481" w:rsidRDefault="00731481" w:rsidP="006F1CFC">
      <w:pPr>
        <w:jc w:val="center"/>
        <w:rPr>
          <w:rFonts w:cs="Calibri"/>
          <w:b/>
          <w:sz w:val="24"/>
          <w:u w:val="single"/>
        </w:rPr>
      </w:pPr>
    </w:p>
    <w:p w:rsidR="006F1CFC" w:rsidRDefault="006F1CFC" w:rsidP="006F1CFC">
      <w:pPr>
        <w:rPr>
          <w:rFonts w:cs="Calibri"/>
          <w:b/>
          <w:sz w:val="24"/>
          <w:u w:val="single"/>
        </w:rPr>
      </w:pPr>
      <w:r w:rsidRPr="00490AF9">
        <w:rPr>
          <w:rFonts w:cs="Calibri"/>
          <w:b/>
          <w:sz w:val="24"/>
          <w:u w:val="single"/>
        </w:rPr>
        <w:t>PROFESORADO DE EDUCACIÓN SECUNDARIA EN</w:t>
      </w:r>
      <w:r>
        <w:rPr>
          <w:rFonts w:cs="Calibri"/>
          <w:b/>
          <w:sz w:val="24"/>
          <w:u w:val="single"/>
        </w:rPr>
        <w:t xml:space="preserve"> LENGUA Y LITERATURA Resolución 1862/17 (PESLE)</w:t>
      </w:r>
    </w:p>
    <w:p w:rsidR="006F1CFC" w:rsidRPr="00B3661B" w:rsidRDefault="006F1CFC" w:rsidP="006F1CFC">
      <w:pPr>
        <w:rPr>
          <w:rFonts w:cs="Calibri"/>
          <w:b/>
          <w:sz w:val="24"/>
          <w:u w:val="single"/>
        </w:rPr>
      </w:pPr>
    </w:p>
    <w:tbl>
      <w:tblPr>
        <w:tblW w:w="99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3"/>
        <w:gridCol w:w="708"/>
        <w:gridCol w:w="1136"/>
        <w:gridCol w:w="1992"/>
        <w:gridCol w:w="3902"/>
      </w:tblGrid>
      <w:tr w:rsidR="00731481" w:rsidRPr="00731481" w:rsidTr="00731481">
        <w:trPr>
          <w:trHeight w:val="323"/>
          <w:jc w:val="center"/>
        </w:trPr>
        <w:tc>
          <w:tcPr>
            <w:tcW w:w="2193" w:type="dxa"/>
            <w:shd w:val="clear" w:color="auto" w:fill="F2F2F2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b/>
                <w:szCs w:val="18"/>
              </w:rPr>
            </w:pPr>
            <w:r w:rsidRPr="00731481">
              <w:rPr>
                <w:rFonts w:cs="Calibri"/>
                <w:b/>
                <w:szCs w:val="18"/>
              </w:rPr>
              <w:t>UNIDAD CURRICULAR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b/>
                <w:szCs w:val="18"/>
              </w:rPr>
            </w:pPr>
            <w:r w:rsidRPr="00731481">
              <w:rPr>
                <w:rFonts w:cs="Calibri"/>
                <w:b/>
                <w:szCs w:val="18"/>
              </w:rPr>
              <w:t>AÑO</w:t>
            </w:r>
          </w:p>
        </w:tc>
        <w:tc>
          <w:tcPr>
            <w:tcW w:w="1136" w:type="dxa"/>
            <w:shd w:val="clear" w:color="auto" w:fill="F2F2F2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b/>
                <w:szCs w:val="18"/>
              </w:rPr>
            </w:pPr>
            <w:r w:rsidRPr="00731481">
              <w:rPr>
                <w:rFonts w:cs="Calibri"/>
                <w:b/>
                <w:szCs w:val="18"/>
              </w:rPr>
              <w:t>MÓDULOS</w:t>
            </w:r>
          </w:p>
        </w:tc>
        <w:tc>
          <w:tcPr>
            <w:tcW w:w="1992" w:type="dxa"/>
            <w:shd w:val="clear" w:color="auto" w:fill="F2F2F2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b/>
                <w:szCs w:val="18"/>
              </w:rPr>
            </w:pPr>
            <w:r w:rsidRPr="00731481">
              <w:rPr>
                <w:rFonts w:cs="Calibri"/>
                <w:b/>
                <w:szCs w:val="18"/>
              </w:rPr>
              <w:t>HORARIO</w:t>
            </w:r>
          </w:p>
        </w:tc>
        <w:tc>
          <w:tcPr>
            <w:tcW w:w="3902" w:type="dxa"/>
            <w:shd w:val="clear" w:color="auto" w:fill="F2F2F2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b/>
                <w:szCs w:val="18"/>
              </w:rPr>
            </w:pPr>
            <w:r w:rsidRPr="00731481">
              <w:rPr>
                <w:rFonts w:cs="Calibri"/>
                <w:b/>
                <w:szCs w:val="18"/>
              </w:rPr>
              <w:t>SITUACIÓN DE REVISTA</w:t>
            </w:r>
          </w:p>
        </w:tc>
      </w:tr>
      <w:tr w:rsidR="00731481" w:rsidRPr="001313FE" w:rsidTr="00731481">
        <w:trPr>
          <w:trHeight w:val="549"/>
          <w:jc w:val="center"/>
        </w:trPr>
        <w:tc>
          <w:tcPr>
            <w:tcW w:w="2193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Teoría Literaria II</w:t>
            </w:r>
          </w:p>
        </w:tc>
        <w:tc>
          <w:tcPr>
            <w:tcW w:w="708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731481">
              <w:rPr>
                <w:rFonts w:cs="Calibri"/>
                <w:sz w:val="20"/>
              </w:rPr>
              <w:t>2°</w:t>
            </w:r>
          </w:p>
        </w:tc>
        <w:tc>
          <w:tcPr>
            <w:tcW w:w="1136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731481">
              <w:rPr>
                <w:rFonts w:cs="Calibri"/>
                <w:sz w:val="20"/>
              </w:rPr>
              <w:t>2 (dos)</w:t>
            </w:r>
          </w:p>
        </w:tc>
        <w:tc>
          <w:tcPr>
            <w:tcW w:w="1992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731481">
              <w:rPr>
                <w:rFonts w:cs="Calibri"/>
                <w:sz w:val="20"/>
              </w:rPr>
              <w:t>Viernes de 18 a 20</w:t>
            </w:r>
          </w:p>
        </w:tc>
        <w:tc>
          <w:tcPr>
            <w:tcW w:w="3902" w:type="dxa"/>
            <w:vAlign w:val="center"/>
          </w:tcPr>
          <w:p w:rsidR="006F1CFC" w:rsidRPr="00731481" w:rsidRDefault="006F1CFC" w:rsidP="00846E31">
            <w:pPr>
              <w:jc w:val="center"/>
              <w:rPr>
                <w:rFonts w:cs="Calibri"/>
                <w:sz w:val="20"/>
              </w:rPr>
            </w:pPr>
            <w:r w:rsidRPr="00731481">
              <w:rPr>
                <w:rFonts w:cs="Calibri"/>
                <w:sz w:val="20"/>
              </w:rPr>
              <w:t>SUPLENTE de RUF, Patricia Lic.115.d.1</w:t>
            </w:r>
          </w:p>
        </w:tc>
      </w:tr>
    </w:tbl>
    <w:p w:rsidR="006F1CFC" w:rsidRDefault="006F1CFC" w:rsidP="006F1CFC">
      <w:pPr>
        <w:contextualSpacing/>
        <w:jc w:val="center"/>
        <w:rPr>
          <w:rFonts w:cs="Calibri"/>
          <w:b/>
          <w:sz w:val="24"/>
          <w:u w:val="single"/>
        </w:rPr>
      </w:pPr>
    </w:p>
    <w:tbl>
      <w:tblPr>
        <w:tblW w:w="9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7"/>
        <w:gridCol w:w="3577"/>
        <w:gridCol w:w="3467"/>
      </w:tblGrid>
      <w:tr w:rsidR="006F1CFC" w:rsidRPr="00C360A9" w:rsidTr="00846E31">
        <w:trPr>
          <w:trHeight w:val="19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COMISIÓN EVALUADORA</w:t>
            </w:r>
          </w:p>
        </w:tc>
        <w:tc>
          <w:tcPr>
            <w:tcW w:w="357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TITULARES</w:t>
            </w:r>
          </w:p>
        </w:tc>
        <w:tc>
          <w:tcPr>
            <w:tcW w:w="346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SUPLENTES</w:t>
            </w:r>
          </w:p>
        </w:tc>
      </w:tr>
      <w:tr w:rsidR="006F1CFC" w:rsidRPr="00C360A9" w:rsidTr="00846E31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Equipo de Conducción</w:t>
            </w:r>
          </w:p>
        </w:tc>
        <w:tc>
          <w:tcPr>
            <w:tcW w:w="357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MC INERNY Silvia </w:t>
            </w:r>
          </w:p>
        </w:tc>
        <w:tc>
          <w:tcPr>
            <w:tcW w:w="346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TORRESIN, Julieta</w:t>
            </w:r>
          </w:p>
        </w:tc>
      </w:tr>
      <w:tr w:rsidR="006F1CFC" w:rsidRPr="00C360A9" w:rsidTr="00846E31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C.A.I.</w:t>
            </w:r>
          </w:p>
        </w:tc>
        <w:tc>
          <w:tcPr>
            <w:tcW w:w="357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PAROLO, Graciela</w:t>
            </w:r>
          </w:p>
        </w:tc>
        <w:tc>
          <w:tcPr>
            <w:tcW w:w="346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GIOVANETTI, Liliana</w:t>
            </w:r>
          </w:p>
        </w:tc>
      </w:tr>
      <w:tr w:rsidR="006F1CFC" w:rsidRPr="00C360A9" w:rsidTr="00846E31">
        <w:trPr>
          <w:trHeight w:val="266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Profesor del Área</w:t>
            </w:r>
          </w:p>
        </w:tc>
        <w:tc>
          <w:tcPr>
            <w:tcW w:w="357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LECUONA, Gabriela</w:t>
            </w:r>
          </w:p>
        </w:tc>
        <w:tc>
          <w:tcPr>
            <w:tcW w:w="3467" w:type="dxa"/>
            <w:vAlign w:val="center"/>
          </w:tcPr>
          <w:p w:rsidR="006F1CFC" w:rsidRPr="00F42649" w:rsidRDefault="006F1CFC" w:rsidP="00112A42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GORINI, Carolina</w:t>
            </w:r>
          </w:p>
        </w:tc>
      </w:tr>
      <w:tr w:rsidR="006F1CFC" w:rsidRPr="00C360A9" w:rsidTr="00846E31">
        <w:trPr>
          <w:trHeight w:val="254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Profesor el área</w:t>
            </w:r>
          </w:p>
        </w:tc>
        <w:tc>
          <w:tcPr>
            <w:tcW w:w="3577" w:type="dxa"/>
            <w:vAlign w:val="center"/>
          </w:tcPr>
          <w:p w:rsidR="006F1CFC" w:rsidRPr="00E83E39" w:rsidRDefault="006F1CFC" w:rsidP="0011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ROMERO, Sergio </w:t>
            </w:r>
          </w:p>
        </w:tc>
        <w:tc>
          <w:tcPr>
            <w:tcW w:w="3467" w:type="dxa"/>
            <w:vAlign w:val="center"/>
          </w:tcPr>
          <w:p w:rsidR="006F1CFC" w:rsidRPr="00266E74" w:rsidRDefault="006F1CFC" w:rsidP="00112A42">
            <w:pPr>
              <w:jc w:val="center"/>
              <w:rPr>
                <w:rFonts w:cs="Calibri"/>
                <w:sz w:val="24"/>
                <w:szCs w:val="24"/>
              </w:rPr>
            </w:pPr>
            <w:r w:rsidRPr="00266E74">
              <w:rPr>
                <w:rFonts w:cs="Calibri"/>
                <w:sz w:val="24"/>
                <w:szCs w:val="24"/>
              </w:rPr>
              <w:t>BACA, Luciana</w:t>
            </w:r>
          </w:p>
        </w:tc>
      </w:tr>
      <w:tr w:rsidR="006F1CFC" w:rsidRPr="00C360A9" w:rsidTr="00846E31">
        <w:trPr>
          <w:trHeight w:val="278"/>
          <w:jc w:val="center"/>
        </w:trPr>
        <w:tc>
          <w:tcPr>
            <w:tcW w:w="2857" w:type="dxa"/>
            <w:shd w:val="clear" w:color="auto" w:fill="F2F2F2"/>
            <w:vAlign w:val="center"/>
          </w:tcPr>
          <w:p w:rsidR="006F1CFC" w:rsidRPr="00C360A9" w:rsidRDefault="006F1CFC" w:rsidP="00112A42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Alumno</w:t>
            </w:r>
          </w:p>
        </w:tc>
        <w:tc>
          <w:tcPr>
            <w:tcW w:w="3577" w:type="dxa"/>
            <w:vAlign w:val="center"/>
          </w:tcPr>
          <w:p w:rsidR="006F1CFC" w:rsidRPr="00E83E39" w:rsidRDefault="006F1CFC" w:rsidP="0011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ANTONELLI, Paola</w:t>
            </w:r>
          </w:p>
        </w:tc>
        <w:tc>
          <w:tcPr>
            <w:tcW w:w="3467" w:type="dxa"/>
            <w:vAlign w:val="center"/>
          </w:tcPr>
          <w:p w:rsidR="006F1CFC" w:rsidRPr="00E83E39" w:rsidRDefault="006F1CFC" w:rsidP="00112A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FRANCO, Natalia</w:t>
            </w:r>
          </w:p>
        </w:tc>
      </w:tr>
    </w:tbl>
    <w:p w:rsidR="00731481" w:rsidRDefault="00731481" w:rsidP="006F1CFC">
      <w:pPr>
        <w:rPr>
          <w:rFonts w:cs="Calibri"/>
          <w:b/>
          <w:sz w:val="24"/>
          <w:u w:val="single"/>
        </w:rPr>
      </w:pPr>
    </w:p>
    <w:p w:rsidR="006F1CFC" w:rsidRDefault="006F1CFC" w:rsidP="006F1CFC">
      <w:pPr>
        <w:rPr>
          <w:rFonts w:cs="Calibri"/>
          <w:b/>
          <w:sz w:val="24"/>
          <w:u w:val="single"/>
        </w:rPr>
      </w:pPr>
      <w:r w:rsidRPr="00490AF9">
        <w:rPr>
          <w:rFonts w:cs="Calibri"/>
          <w:b/>
          <w:sz w:val="24"/>
          <w:u w:val="single"/>
        </w:rPr>
        <w:t xml:space="preserve">PROFESORADO DE EDUCACIÓN </w:t>
      </w:r>
      <w:r>
        <w:rPr>
          <w:rFonts w:cs="Calibri"/>
          <w:b/>
          <w:sz w:val="24"/>
          <w:u w:val="single"/>
        </w:rPr>
        <w:t>PRIMARIA Resolución 4154/07 (PFPRI)</w:t>
      </w:r>
    </w:p>
    <w:p w:rsidR="006F1CFC" w:rsidRDefault="006F1CFC" w:rsidP="006F1CFC">
      <w:pPr>
        <w:rPr>
          <w:rFonts w:cs="Calibri"/>
          <w:b/>
          <w:sz w:val="24"/>
          <w:u w:val="single"/>
        </w:rPr>
      </w:pPr>
    </w:p>
    <w:tbl>
      <w:tblPr>
        <w:tblW w:w="99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31"/>
        <w:gridCol w:w="717"/>
        <w:gridCol w:w="1258"/>
        <w:gridCol w:w="1926"/>
        <w:gridCol w:w="3874"/>
      </w:tblGrid>
      <w:tr w:rsidR="00846E31" w:rsidRPr="001313FE" w:rsidTr="00846E31">
        <w:trPr>
          <w:trHeight w:val="220"/>
          <w:jc w:val="center"/>
        </w:trPr>
        <w:tc>
          <w:tcPr>
            <w:tcW w:w="2131" w:type="dxa"/>
            <w:shd w:val="clear" w:color="auto" w:fill="F2F2F2"/>
            <w:vAlign w:val="center"/>
          </w:tcPr>
          <w:p w:rsidR="006F1CFC" w:rsidRPr="001313FE" w:rsidRDefault="006F1CFC" w:rsidP="00731481">
            <w:pPr>
              <w:jc w:val="center"/>
              <w:rPr>
                <w:rFonts w:cs="Calibri"/>
                <w:b/>
              </w:rPr>
            </w:pPr>
            <w:r w:rsidRPr="001313FE">
              <w:rPr>
                <w:rFonts w:cs="Calibri"/>
                <w:b/>
              </w:rPr>
              <w:t>UNIDAD CURRICULAR</w:t>
            </w:r>
          </w:p>
        </w:tc>
        <w:tc>
          <w:tcPr>
            <w:tcW w:w="717" w:type="dxa"/>
            <w:shd w:val="clear" w:color="auto" w:fill="F2F2F2"/>
            <w:vAlign w:val="center"/>
          </w:tcPr>
          <w:p w:rsidR="006F1CFC" w:rsidRPr="001313FE" w:rsidRDefault="006F1CFC" w:rsidP="00731481">
            <w:pPr>
              <w:jc w:val="center"/>
              <w:rPr>
                <w:rFonts w:cs="Calibri"/>
                <w:b/>
                <w:sz w:val="20"/>
              </w:rPr>
            </w:pPr>
            <w:r w:rsidRPr="001313FE">
              <w:rPr>
                <w:rFonts w:cs="Calibri"/>
                <w:b/>
              </w:rPr>
              <w:t>AÑO</w:t>
            </w:r>
          </w:p>
        </w:tc>
        <w:tc>
          <w:tcPr>
            <w:tcW w:w="1258" w:type="dxa"/>
            <w:shd w:val="clear" w:color="auto" w:fill="F2F2F2"/>
            <w:vAlign w:val="center"/>
          </w:tcPr>
          <w:p w:rsidR="006F1CFC" w:rsidRPr="001313FE" w:rsidRDefault="006F1CFC" w:rsidP="00731481">
            <w:pPr>
              <w:jc w:val="center"/>
              <w:rPr>
                <w:rFonts w:cs="Calibri"/>
                <w:b/>
                <w:sz w:val="20"/>
              </w:rPr>
            </w:pPr>
            <w:r w:rsidRPr="001313FE">
              <w:rPr>
                <w:rFonts w:cs="Calibri"/>
                <w:b/>
                <w:sz w:val="20"/>
              </w:rPr>
              <w:t>MÓDULOS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6F1CFC" w:rsidRPr="001313FE" w:rsidRDefault="006F1CFC" w:rsidP="00731481">
            <w:pPr>
              <w:jc w:val="center"/>
              <w:rPr>
                <w:rFonts w:cs="Calibri"/>
                <w:b/>
              </w:rPr>
            </w:pPr>
            <w:r w:rsidRPr="001313FE">
              <w:rPr>
                <w:rFonts w:cs="Calibri"/>
                <w:b/>
              </w:rPr>
              <w:t>HORARIO</w:t>
            </w:r>
          </w:p>
        </w:tc>
        <w:tc>
          <w:tcPr>
            <w:tcW w:w="3874" w:type="dxa"/>
            <w:shd w:val="clear" w:color="auto" w:fill="F2F2F2"/>
            <w:vAlign w:val="center"/>
          </w:tcPr>
          <w:p w:rsidR="006F1CFC" w:rsidRPr="001313FE" w:rsidRDefault="006F1CFC" w:rsidP="00731481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SITUACIÓN DE REVISTA</w:t>
            </w:r>
          </w:p>
        </w:tc>
      </w:tr>
      <w:tr w:rsidR="00846E31" w:rsidRPr="001313FE" w:rsidTr="00846E31">
        <w:trPr>
          <w:trHeight w:val="319"/>
          <w:jc w:val="center"/>
        </w:trPr>
        <w:tc>
          <w:tcPr>
            <w:tcW w:w="2131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4"/>
                <w:szCs w:val="24"/>
              </w:rPr>
            </w:pPr>
            <w:r w:rsidRPr="00731481">
              <w:rPr>
                <w:rFonts w:cs="Calibri"/>
                <w:sz w:val="24"/>
                <w:szCs w:val="24"/>
              </w:rPr>
              <w:t>Psicología Social e Institucional</w:t>
            </w:r>
          </w:p>
        </w:tc>
        <w:tc>
          <w:tcPr>
            <w:tcW w:w="717" w:type="dxa"/>
            <w:vMerge w:val="restart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>2°</w:t>
            </w:r>
          </w:p>
        </w:tc>
        <w:tc>
          <w:tcPr>
            <w:tcW w:w="1258" w:type="dxa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>1 (uno)</w:t>
            </w:r>
          </w:p>
        </w:tc>
        <w:tc>
          <w:tcPr>
            <w:tcW w:w="1926" w:type="dxa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>Martes de 21  a 22</w:t>
            </w:r>
          </w:p>
        </w:tc>
        <w:tc>
          <w:tcPr>
            <w:tcW w:w="3874" w:type="dxa"/>
            <w:vMerge w:val="restart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 xml:space="preserve">SUPLENTE de </w:t>
            </w:r>
            <w:proofErr w:type="spellStart"/>
            <w:r w:rsidRPr="00846E31">
              <w:rPr>
                <w:rFonts w:cs="Calibri"/>
                <w:sz w:val="20"/>
              </w:rPr>
              <w:t>Diaz</w:t>
            </w:r>
            <w:proofErr w:type="spellEnd"/>
            <w:r w:rsidRPr="00846E31">
              <w:rPr>
                <w:rFonts w:cs="Calibri"/>
                <w:sz w:val="20"/>
              </w:rPr>
              <w:t xml:space="preserve"> </w:t>
            </w:r>
            <w:proofErr w:type="spellStart"/>
            <w:r w:rsidRPr="00846E31">
              <w:rPr>
                <w:rFonts w:cs="Calibri"/>
                <w:sz w:val="20"/>
              </w:rPr>
              <w:t>Gonzalez</w:t>
            </w:r>
            <w:proofErr w:type="spellEnd"/>
            <w:r w:rsidRPr="00846E31">
              <w:rPr>
                <w:rFonts w:cs="Calibri"/>
                <w:sz w:val="20"/>
              </w:rPr>
              <w:t xml:space="preserve"> </w:t>
            </w:r>
            <w:proofErr w:type="spellStart"/>
            <w:r w:rsidRPr="00846E31">
              <w:rPr>
                <w:rFonts w:cs="Calibri"/>
                <w:sz w:val="20"/>
              </w:rPr>
              <w:t>Sofia</w:t>
            </w:r>
            <w:proofErr w:type="spellEnd"/>
            <w:r w:rsidRPr="00846E31">
              <w:rPr>
                <w:rFonts w:cs="Calibri"/>
                <w:sz w:val="20"/>
              </w:rPr>
              <w:t xml:space="preserve">  Lic.115.d.1</w:t>
            </w:r>
          </w:p>
        </w:tc>
      </w:tr>
      <w:tr w:rsidR="00846E31" w:rsidRPr="001313FE" w:rsidTr="00846E31">
        <w:trPr>
          <w:trHeight w:val="319"/>
          <w:jc w:val="center"/>
        </w:trPr>
        <w:tc>
          <w:tcPr>
            <w:tcW w:w="2131" w:type="dxa"/>
            <w:vAlign w:val="center"/>
          </w:tcPr>
          <w:p w:rsidR="006F1CFC" w:rsidRPr="00731481" w:rsidRDefault="006F1CFC" w:rsidP="00731481">
            <w:pPr>
              <w:jc w:val="center"/>
              <w:rPr>
                <w:rFonts w:cs="Calibri"/>
                <w:sz w:val="24"/>
                <w:szCs w:val="24"/>
              </w:rPr>
            </w:pPr>
            <w:r w:rsidRPr="00731481">
              <w:rPr>
                <w:rFonts w:cs="Calibri"/>
                <w:sz w:val="24"/>
                <w:szCs w:val="24"/>
              </w:rPr>
              <w:t>TAIN</w:t>
            </w:r>
          </w:p>
        </w:tc>
        <w:tc>
          <w:tcPr>
            <w:tcW w:w="717" w:type="dxa"/>
            <w:vMerge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</w:p>
        </w:tc>
        <w:tc>
          <w:tcPr>
            <w:tcW w:w="1258" w:type="dxa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>1 (uno)</w:t>
            </w:r>
          </w:p>
        </w:tc>
        <w:tc>
          <w:tcPr>
            <w:tcW w:w="1926" w:type="dxa"/>
            <w:vAlign w:val="center"/>
          </w:tcPr>
          <w:p w:rsidR="006F1CFC" w:rsidRPr="00846E31" w:rsidRDefault="006F1CFC" w:rsidP="00731481">
            <w:pPr>
              <w:jc w:val="center"/>
              <w:rPr>
                <w:rFonts w:cs="Calibri"/>
                <w:sz w:val="20"/>
              </w:rPr>
            </w:pPr>
            <w:r w:rsidRPr="00846E31">
              <w:rPr>
                <w:rFonts w:cs="Calibri"/>
                <w:sz w:val="20"/>
              </w:rPr>
              <w:t>Martes de 22 a 23</w:t>
            </w:r>
          </w:p>
        </w:tc>
        <w:tc>
          <w:tcPr>
            <w:tcW w:w="3874" w:type="dxa"/>
            <w:vMerge/>
            <w:vAlign w:val="center"/>
          </w:tcPr>
          <w:p w:rsidR="006F1CFC" w:rsidRDefault="006F1CFC" w:rsidP="00731481">
            <w:pPr>
              <w:jc w:val="center"/>
              <w:rPr>
                <w:rFonts w:cs="Calibri"/>
              </w:rPr>
            </w:pPr>
          </w:p>
        </w:tc>
      </w:tr>
    </w:tbl>
    <w:p w:rsidR="006F1CFC" w:rsidRDefault="006F1CFC" w:rsidP="006F1CFC">
      <w:pPr>
        <w:rPr>
          <w:rFonts w:cs="Calibri"/>
          <w:b/>
          <w:sz w:val="24"/>
          <w:u w:val="single"/>
        </w:rPr>
      </w:pP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55"/>
        <w:gridCol w:w="3590"/>
        <w:gridCol w:w="3470"/>
      </w:tblGrid>
      <w:tr w:rsidR="006F1CFC" w:rsidRPr="00C360A9" w:rsidTr="00846E31">
        <w:trPr>
          <w:trHeight w:val="193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COMISIÓN EVALUADORA</w:t>
            </w:r>
          </w:p>
        </w:tc>
        <w:tc>
          <w:tcPr>
            <w:tcW w:w="3590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TITULARES</w:t>
            </w:r>
          </w:p>
        </w:tc>
        <w:tc>
          <w:tcPr>
            <w:tcW w:w="3470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SUPLENTES</w:t>
            </w:r>
          </w:p>
        </w:tc>
      </w:tr>
      <w:tr w:rsidR="006F1CFC" w:rsidRPr="00C360A9" w:rsidTr="00846E31">
        <w:trPr>
          <w:trHeight w:val="261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Equipo de Conducción</w:t>
            </w:r>
          </w:p>
        </w:tc>
        <w:tc>
          <w:tcPr>
            <w:tcW w:w="359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MC INERNY Silvia</w:t>
            </w:r>
          </w:p>
        </w:tc>
        <w:tc>
          <w:tcPr>
            <w:tcW w:w="347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TORRESIN, Julieta</w:t>
            </w:r>
          </w:p>
        </w:tc>
      </w:tr>
      <w:tr w:rsidR="006F1CFC" w:rsidRPr="00C360A9" w:rsidTr="00846E31">
        <w:trPr>
          <w:trHeight w:val="249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C.A.I.</w:t>
            </w:r>
          </w:p>
        </w:tc>
        <w:tc>
          <w:tcPr>
            <w:tcW w:w="359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PAROLO, Graciela</w:t>
            </w:r>
          </w:p>
        </w:tc>
        <w:tc>
          <w:tcPr>
            <w:tcW w:w="347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GIOVANETTI, Liliana</w:t>
            </w:r>
          </w:p>
        </w:tc>
      </w:tr>
      <w:tr w:rsidR="006F1CFC" w:rsidRPr="00C360A9" w:rsidTr="00846E31">
        <w:trPr>
          <w:trHeight w:val="261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Profesor del Área</w:t>
            </w:r>
          </w:p>
        </w:tc>
        <w:tc>
          <w:tcPr>
            <w:tcW w:w="359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 xml:space="preserve">DIAZ GONZALEZ, </w:t>
            </w:r>
            <w:proofErr w:type="spellStart"/>
            <w:r>
              <w:rPr>
                <w:rFonts w:cs="Calibri"/>
                <w:sz w:val="24"/>
              </w:rPr>
              <w:t>Sofia</w:t>
            </w:r>
            <w:proofErr w:type="spellEnd"/>
          </w:p>
        </w:tc>
        <w:tc>
          <w:tcPr>
            <w:tcW w:w="3470" w:type="dxa"/>
            <w:vAlign w:val="center"/>
          </w:tcPr>
          <w:p w:rsidR="006F1CFC" w:rsidRPr="00F42649" w:rsidRDefault="006F1CFC" w:rsidP="00731481">
            <w:pPr>
              <w:jc w:val="center"/>
              <w:rPr>
                <w:rFonts w:cs="Calibri"/>
                <w:sz w:val="24"/>
              </w:rPr>
            </w:pPr>
            <w:r>
              <w:rPr>
                <w:rFonts w:cs="Calibri"/>
                <w:sz w:val="24"/>
              </w:rPr>
              <w:t>PARRA, Liliana</w:t>
            </w:r>
          </w:p>
        </w:tc>
      </w:tr>
      <w:tr w:rsidR="006F1CFC" w:rsidRPr="00C360A9" w:rsidTr="00846E31">
        <w:trPr>
          <w:trHeight w:val="261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Profesor el área</w:t>
            </w:r>
          </w:p>
        </w:tc>
        <w:tc>
          <w:tcPr>
            <w:tcW w:w="3590" w:type="dxa"/>
            <w:vAlign w:val="center"/>
          </w:tcPr>
          <w:p w:rsidR="006F1CFC" w:rsidRPr="00E83E39" w:rsidRDefault="006F1CFC" w:rsidP="0073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ROMERO, Sergio</w:t>
            </w:r>
          </w:p>
        </w:tc>
        <w:tc>
          <w:tcPr>
            <w:tcW w:w="3470" w:type="dxa"/>
            <w:vAlign w:val="center"/>
          </w:tcPr>
          <w:p w:rsidR="006F1CFC" w:rsidRPr="00E83E39" w:rsidRDefault="006F1CFC" w:rsidP="0073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 xml:space="preserve">PARRA, </w:t>
            </w:r>
            <w:proofErr w:type="spellStart"/>
            <w:r w:rsidRPr="00E83E39">
              <w:rPr>
                <w:rFonts w:cs="Calibri"/>
                <w:color w:val="000000"/>
                <w:sz w:val="24"/>
                <w:szCs w:val="24"/>
              </w:rPr>
              <w:t>Analia</w:t>
            </w:r>
            <w:proofErr w:type="spellEnd"/>
          </w:p>
        </w:tc>
      </w:tr>
      <w:tr w:rsidR="006F1CFC" w:rsidRPr="00C360A9" w:rsidTr="00846E31">
        <w:trPr>
          <w:trHeight w:val="224"/>
          <w:jc w:val="center"/>
        </w:trPr>
        <w:tc>
          <w:tcPr>
            <w:tcW w:w="2855" w:type="dxa"/>
            <w:shd w:val="clear" w:color="auto" w:fill="F2F2F2"/>
            <w:vAlign w:val="center"/>
          </w:tcPr>
          <w:p w:rsidR="006F1CFC" w:rsidRPr="00C360A9" w:rsidRDefault="006F1CFC" w:rsidP="00731481">
            <w:pPr>
              <w:jc w:val="center"/>
              <w:rPr>
                <w:rFonts w:cs="Calibri"/>
                <w:b/>
              </w:rPr>
            </w:pPr>
            <w:r w:rsidRPr="00C360A9">
              <w:rPr>
                <w:rFonts w:cs="Calibri"/>
                <w:b/>
              </w:rPr>
              <w:t>Alumno</w:t>
            </w:r>
          </w:p>
        </w:tc>
        <w:tc>
          <w:tcPr>
            <w:tcW w:w="3590" w:type="dxa"/>
            <w:vAlign w:val="center"/>
          </w:tcPr>
          <w:p w:rsidR="006F1CFC" w:rsidRPr="00E83E39" w:rsidRDefault="006F1CFC" w:rsidP="0073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CULICINIO, Camila Celeste</w:t>
            </w:r>
          </w:p>
        </w:tc>
        <w:tc>
          <w:tcPr>
            <w:tcW w:w="3470" w:type="dxa"/>
            <w:vAlign w:val="center"/>
          </w:tcPr>
          <w:p w:rsidR="006F1CFC" w:rsidRPr="00E83E39" w:rsidRDefault="006F1CFC" w:rsidP="007314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E39">
              <w:rPr>
                <w:rFonts w:cs="Calibri"/>
                <w:color w:val="000000"/>
                <w:sz w:val="24"/>
                <w:szCs w:val="24"/>
              </w:rPr>
              <w:t>BERNARDI, Verónica Noemí</w:t>
            </w:r>
          </w:p>
        </w:tc>
      </w:tr>
    </w:tbl>
    <w:p w:rsidR="006F1CFC" w:rsidRDefault="006F1CFC" w:rsidP="006F1CFC">
      <w:pPr>
        <w:rPr>
          <w:rFonts w:cs="Calibri"/>
          <w:b/>
          <w:sz w:val="24"/>
          <w:u w:val="single"/>
        </w:rPr>
      </w:pPr>
    </w:p>
    <w:p w:rsidR="006F1CFC" w:rsidRDefault="006F1CFC" w:rsidP="006F1CFC">
      <w:pPr>
        <w:jc w:val="center"/>
        <w:rPr>
          <w:rFonts w:cs="Calibri"/>
          <w:b/>
          <w:sz w:val="28"/>
          <w:u w:val="single"/>
        </w:rPr>
      </w:pPr>
      <w:r w:rsidRPr="00C360A9">
        <w:rPr>
          <w:rFonts w:cs="Calibri"/>
          <w:b/>
          <w:sz w:val="28"/>
          <w:u w:val="single"/>
        </w:rPr>
        <w:t>CRONOGRAMA</w:t>
      </w:r>
    </w:p>
    <w:p w:rsidR="006F1CFC" w:rsidRPr="00C360A9" w:rsidRDefault="006F1CFC" w:rsidP="006F1CFC">
      <w:pPr>
        <w:jc w:val="center"/>
        <w:rPr>
          <w:rFonts w:cs="Calibri"/>
          <w:b/>
          <w:sz w:val="28"/>
          <w:u w:val="single"/>
        </w:rPr>
      </w:pPr>
    </w:p>
    <w:tbl>
      <w:tblPr>
        <w:tblW w:w="99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2"/>
        <w:gridCol w:w="2703"/>
      </w:tblGrid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6F1CFC" w:rsidP="00DE4C4C">
            <w:pPr>
              <w:rPr>
                <w:sz w:val="20"/>
              </w:rPr>
            </w:pPr>
            <w:r w:rsidRPr="00595E6C">
              <w:rPr>
                <w:sz w:val="20"/>
              </w:rPr>
              <w:t>Difusión</w:t>
            </w:r>
            <w:r w:rsidR="00DE4C4C">
              <w:rPr>
                <w:sz w:val="20"/>
              </w:rPr>
              <w:t xml:space="preserve"> (10 días corridos)</w:t>
            </w:r>
          </w:p>
        </w:tc>
        <w:tc>
          <w:tcPr>
            <w:tcW w:w="2703" w:type="dxa"/>
            <w:vAlign w:val="center"/>
          </w:tcPr>
          <w:p w:rsidR="006F1CFC" w:rsidRPr="00595E6C" w:rsidRDefault="00D46C4B" w:rsidP="00DE4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F1CFC">
              <w:rPr>
                <w:sz w:val="20"/>
              </w:rPr>
              <w:t xml:space="preserve">/07/2022 al </w:t>
            </w:r>
            <w:r w:rsidR="00DE4C4C">
              <w:rPr>
                <w:sz w:val="20"/>
              </w:rPr>
              <w:t>3</w:t>
            </w:r>
            <w:r w:rsidR="006F1CFC">
              <w:rPr>
                <w:sz w:val="20"/>
              </w:rPr>
              <w:t>1/0</w:t>
            </w:r>
            <w:r w:rsidR="00DE4C4C">
              <w:rPr>
                <w:sz w:val="20"/>
              </w:rPr>
              <w:t>7</w:t>
            </w:r>
            <w:r w:rsidR="006F1CFC">
              <w:rPr>
                <w:sz w:val="20"/>
              </w:rPr>
              <w:t>/2022</w:t>
            </w:r>
          </w:p>
        </w:tc>
      </w:tr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6F1CFC" w:rsidP="00112A42">
            <w:pPr>
              <w:rPr>
                <w:sz w:val="20"/>
              </w:rPr>
            </w:pPr>
            <w:r w:rsidRPr="00800341">
              <w:rPr>
                <w:rFonts w:cs="Calibri"/>
                <w:color w:val="000000"/>
                <w:sz w:val="20"/>
                <w:szCs w:val="24"/>
                <w:u w:val="single"/>
                <w:lang w:eastAsia="es-AR"/>
              </w:rPr>
              <w:t>Inscripción</w:t>
            </w:r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 xml:space="preserve">: ANEXO III de la Resolución 5886/03 con documentación </w:t>
            </w:r>
            <w:proofErr w:type="spellStart"/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>respaldatoria</w:t>
            </w:r>
            <w:proofErr w:type="spellEnd"/>
            <w:r w:rsidRPr="00800341">
              <w:rPr>
                <w:rFonts w:cs="Calibri"/>
                <w:color w:val="000000"/>
                <w:sz w:val="20"/>
                <w:szCs w:val="24"/>
                <w:lang w:eastAsia="es-AR"/>
              </w:rPr>
              <w:t xml:space="preserve"> debidamente autenticada y Propuesta Curricular Disposición 30/05</w:t>
            </w:r>
            <w:r>
              <w:rPr>
                <w:rFonts w:cs="Calibri"/>
                <w:color w:val="000000"/>
                <w:sz w:val="20"/>
                <w:szCs w:val="24"/>
                <w:lang w:eastAsia="es-AR"/>
              </w:rPr>
              <w:t xml:space="preserve">. </w:t>
            </w:r>
            <w:r w:rsidR="00DE4C4C">
              <w:rPr>
                <w:rFonts w:cs="Calibri"/>
                <w:color w:val="000000"/>
                <w:sz w:val="20"/>
                <w:szCs w:val="24"/>
                <w:lang w:eastAsia="es-AR"/>
              </w:rPr>
              <w:t>(3 días hábiles)</w:t>
            </w:r>
          </w:p>
        </w:tc>
        <w:tc>
          <w:tcPr>
            <w:tcW w:w="2703" w:type="dxa"/>
            <w:vAlign w:val="center"/>
          </w:tcPr>
          <w:p w:rsidR="006F1CFC" w:rsidRPr="004A2979" w:rsidRDefault="00DE4C4C" w:rsidP="00DE4C4C">
            <w:pPr>
              <w:jc w:val="center"/>
              <w:rPr>
                <w:rFonts w:cs="Calibri"/>
                <w:sz w:val="20"/>
              </w:rPr>
            </w:pPr>
            <w:r>
              <w:rPr>
                <w:sz w:val="20"/>
              </w:rPr>
              <w:t>01</w:t>
            </w:r>
            <w:r w:rsidR="006F1CFC">
              <w:rPr>
                <w:sz w:val="20"/>
              </w:rPr>
              <w:t>/08/2022 al 0</w:t>
            </w:r>
            <w:r>
              <w:rPr>
                <w:sz w:val="20"/>
              </w:rPr>
              <w:t>3</w:t>
            </w:r>
            <w:r w:rsidR="006F1CFC">
              <w:rPr>
                <w:sz w:val="20"/>
              </w:rPr>
              <w:t>/08/2022</w:t>
            </w:r>
          </w:p>
        </w:tc>
      </w:tr>
      <w:tr w:rsidR="00DE4C4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DE4C4C" w:rsidRDefault="00DE4C4C" w:rsidP="00112A42">
            <w:pPr>
              <w:rPr>
                <w:sz w:val="20"/>
              </w:rPr>
            </w:pPr>
            <w:r>
              <w:rPr>
                <w:sz w:val="20"/>
              </w:rPr>
              <w:t>Recusación de las comisiones evaluadoras</w:t>
            </w:r>
          </w:p>
        </w:tc>
        <w:tc>
          <w:tcPr>
            <w:tcW w:w="2703" w:type="dxa"/>
            <w:vAlign w:val="center"/>
          </w:tcPr>
          <w:p w:rsidR="00DE4C4C" w:rsidRPr="004A2979" w:rsidRDefault="00DE4C4C" w:rsidP="00112A42">
            <w:pPr>
              <w:jc w:val="center"/>
              <w:rPr>
                <w:rFonts w:cs="Calibri"/>
                <w:sz w:val="20"/>
              </w:rPr>
            </w:pPr>
            <w:r>
              <w:rPr>
                <w:sz w:val="20"/>
              </w:rPr>
              <w:t>01/08/2022 al 03/08/2022</w:t>
            </w:r>
          </w:p>
        </w:tc>
      </w:tr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6F1CFC" w:rsidP="00112A42">
            <w:pPr>
              <w:rPr>
                <w:sz w:val="20"/>
              </w:rPr>
            </w:pPr>
            <w:r w:rsidRPr="00595E6C">
              <w:rPr>
                <w:sz w:val="20"/>
              </w:rPr>
              <w:t xml:space="preserve">Evaluación de propuestas y </w:t>
            </w:r>
            <w:r>
              <w:rPr>
                <w:sz w:val="20"/>
              </w:rPr>
              <w:t xml:space="preserve">antecedentes específicos, </w:t>
            </w:r>
            <w:r w:rsidRPr="00595E6C">
              <w:rPr>
                <w:sz w:val="20"/>
              </w:rPr>
              <w:t>elevación al Tribunal</w:t>
            </w:r>
            <w:r>
              <w:rPr>
                <w:sz w:val="20"/>
              </w:rPr>
              <w:t xml:space="preserve"> Descentralizado la valoración surgida por aplicación del art. 60 </w:t>
            </w:r>
            <w:r w:rsidRPr="00595E6C">
              <w:rPr>
                <w:sz w:val="20"/>
              </w:rPr>
              <w:t xml:space="preserve">en caso </w:t>
            </w:r>
            <w:r>
              <w:rPr>
                <w:sz w:val="20"/>
              </w:rPr>
              <w:t xml:space="preserve">de necesidad ante </w:t>
            </w:r>
            <w:r w:rsidRPr="00595E6C">
              <w:rPr>
                <w:sz w:val="20"/>
              </w:rPr>
              <w:t>los Antecedentes</w:t>
            </w:r>
            <w:r>
              <w:rPr>
                <w:sz w:val="20"/>
              </w:rPr>
              <w:t xml:space="preserve"> presentados</w:t>
            </w:r>
            <w:r>
              <w:rPr>
                <w:sz w:val="24"/>
              </w:rPr>
              <w:t xml:space="preserve"> </w:t>
            </w:r>
            <w:r w:rsidR="00DE4C4C" w:rsidRPr="00DE4C4C">
              <w:rPr>
                <w:sz w:val="20"/>
              </w:rPr>
              <w:t>(10 días hábiles)</w:t>
            </w:r>
          </w:p>
        </w:tc>
        <w:tc>
          <w:tcPr>
            <w:tcW w:w="2703" w:type="dxa"/>
            <w:vAlign w:val="center"/>
          </w:tcPr>
          <w:p w:rsidR="006F1CFC" w:rsidRPr="004A2979" w:rsidRDefault="006F1CFC" w:rsidP="00DE4C4C">
            <w:pPr>
              <w:jc w:val="center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 xml:space="preserve">4/08/2022 al </w:t>
            </w:r>
            <w:r w:rsidR="00DE4C4C">
              <w:rPr>
                <w:rFonts w:cs="Calibri"/>
                <w:sz w:val="20"/>
              </w:rPr>
              <w:t>1</w:t>
            </w:r>
            <w:r>
              <w:rPr>
                <w:rFonts w:cs="Calibri"/>
                <w:sz w:val="20"/>
              </w:rPr>
              <w:t>8/08/2022</w:t>
            </w:r>
          </w:p>
        </w:tc>
      </w:tr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6F1CFC" w:rsidP="00112A42">
            <w:pPr>
              <w:rPr>
                <w:sz w:val="20"/>
              </w:rPr>
            </w:pPr>
            <w:r w:rsidRPr="00595E6C">
              <w:rPr>
                <w:sz w:val="20"/>
              </w:rPr>
              <w:t xml:space="preserve">Notificación puntajes obtenidos (Propuesta + </w:t>
            </w:r>
            <w:r>
              <w:rPr>
                <w:sz w:val="20"/>
              </w:rPr>
              <w:t xml:space="preserve">Valoración de </w:t>
            </w:r>
            <w:r w:rsidRPr="00595E6C">
              <w:rPr>
                <w:sz w:val="20"/>
              </w:rPr>
              <w:t>Antecedentes)</w:t>
            </w:r>
          </w:p>
        </w:tc>
        <w:tc>
          <w:tcPr>
            <w:tcW w:w="2703" w:type="dxa"/>
            <w:vAlign w:val="center"/>
          </w:tcPr>
          <w:p w:rsidR="006F1CFC" w:rsidRPr="00595E6C" w:rsidRDefault="00DE4C4C" w:rsidP="00112A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6F1CFC">
              <w:rPr>
                <w:sz w:val="20"/>
              </w:rPr>
              <w:t>9/08/2022</w:t>
            </w:r>
          </w:p>
        </w:tc>
      </w:tr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DE4C4C" w:rsidP="00112A42">
            <w:pPr>
              <w:rPr>
                <w:sz w:val="20"/>
              </w:rPr>
            </w:pPr>
            <w:r>
              <w:rPr>
                <w:sz w:val="20"/>
              </w:rPr>
              <w:t>Entrevista (5 días hábiles)</w:t>
            </w:r>
          </w:p>
        </w:tc>
        <w:tc>
          <w:tcPr>
            <w:tcW w:w="2703" w:type="dxa"/>
            <w:vAlign w:val="center"/>
          </w:tcPr>
          <w:p w:rsidR="006F1CFC" w:rsidRPr="00595E6C" w:rsidRDefault="00DE4C4C" w:rsidP="00DE4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  <w:r w:rsidR="006F1CFC">
              <w:rPr>
                <w:sz w:val="20"/>
              </w:rPr>
              <w:t xml:space="preserve">/08/2022 al </w:t>
            </w:r>
            <w:r>
              <w:rPr>
                <w:sz w:val="20"/>
              </w:rPr>
              <w:t>26</w:t>
            </w:r>
            <w:r w:rsidR="006F1CFC">
              <w:rPr>
                <w:sz w:val="20"/>
              </w:rPr>
              <w:t xml:space="preserve">/08/2022 </w:t>
            </w:r>
          </w:p>
        </w:tc>
      </w:tr>
      <w:tr w:rsidR="006F1CFC" w:rsidRPr="00595E6C" w:rsidTr="00846E31">
        <w:trPr>
          <w:trHeight w:val="321"/>
          <w:jc w:val="center"/>
        </w:trPr>
        <w:tc>
          <w:tcPr>
            <w:tcW w:w="7222" w:type="dxa"/>
            <w:vAlign w:val="center"/>
          </w:tcPr>
          <w:p w:rsidR="006F1CFC" w:rsidRPr="00595E6C" w:rsidRDefault="006F1CFC" w:rsidP="00112A42">
            <w:pPr>
              <w:rPr>
                <w:sz w:val="20"/>
              </w:rPr>
            </w:pPr>
            <w:r>
              <w:rPr>
                <w:sz w:val="20"/>
              </w:rPr>
              <w:t xml:space="preserve">Notificación del Orden de Mérito </w:t>
            </w:r>
          </w:p>
        </w:tc>
        <w:tc>
          <w:tcPr>
            <w:tcW w:w="2703" w:type="dxa"/>
            <w:vAlign w:val="center"/>
          </w:tcPr>
          <w:p w:rsidR="006F1CFC" w:rsidRDefault="00DE4C4C" w:rsidP="00DE4C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  <w:r w:rsidR="006F1CFC">
              <w:rPr>
                <w:sz w:val="20"/>
              </w:rPr>
              <w:t xml:space="preserve">/08/2022 al </w:t>
            </w:r>
            <w:r>
              <w:rPr>
                <w:sz w:val="20"/>
              </w:rPr>
              <w:t>31</w:t>
            </w:r>
            <w:r w:rsidR="006F1CFC">
              <w:rPr>
                <w:sz w:val="20"/>
              </w:rPr>
              <w:t>/08/2022</w:t>
            </w:r>
          </w:p>
        </w:tc>
      </w:tr>
    </w:tbl>
    <w:p w:rsidR="009A69E5" w:rsidRDefault="009A69E5" w:rsidP="006F1CFC">
      <w:pPr>
        <w:jc w:val="center"/>
      </w:pPr>
    </w:p>
    <w:sectPr w:rsidR="009A69E5" w:rsidSect="00E90791">
      <w:pgSz w:w="11906" w:h="16838"/>
      <w:pgMar w:top="993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716"/>
    <w:multiLevelType w:val="hybridMultilevel"/>
    <w:tmpl w:val="276EF3A0"/>
    <w:lvl w:ilvl="0" w:tplc="20DCEB8E">
      <w:start w:val="3"/>
      <w:numFmt w:val="bullet"/>
      <w:lvlText w:val=""/>
      <w:lvlJc w:val="left"/>
      <w:pPr>
        <w:ind w:left="927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CC"/>
    <w:rsid w:val="00204E52"/>
    <w:rsid w:val="0030060C"/>
    <w:rsid w:val="006F1CFC"/>
    <w:rsid w:val="00731481"/>
    <w:rsid w:val="007430CC"/>
    <w:rsid w:val="00846E31"/>
    <w:rsid w:val="008635D2"/>
    <w:rsid w:val="009A69E5"/>
    <w:rsid w:val="00A0311C"/>
    <w:rsid w:val="00B55064"/>
    <w:rsid w:val="00D46C4B"/>
    <w:rsid w:val="00DE4C4C"/>
    <w:rsid w:val="00F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C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430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CC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0CC"/>
    <w:pPr>
      <w:spacing w:after="0" w:line="240" w:lineRule="auto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7430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430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30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30C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sfd119comisionevaluado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bc.gob.a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1499</TotalTime>
  <Pages>2</Pages>
  <Words>828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8</cp:revision>
  <dcterms:created xsi:type="dcterms:W3CDTF">2022-07-18T12:49:00Z</dcterms:created>
  <dcterms:modified xsi:type="dcterms:W3CDTF">2022-07-19T16:05:00Z</dcterms:modified>
</cp:coreProperties>
</file>